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30" w:rsidRDefault="006A7B30" w:rsidP="006A7B30">
      <w:pPr>
        <w:spacing w:after="0"/>
        <w:jc w:val="right"/>
        <w:rPr>
          <w:rFonts w:cstheme="minorHAnsi"/>
          <w:color w:val="7030A0"/>
          <w:sz w:val="36"/>
          <w:szCs w:val="24"/>
        </w:rPr>
      </w:pPr>
      <w:r w:rsidRPr="006A7B30">
        <w:rPr>
          <w:rFonts w:cstheme="minorHAnsi"/>
          <w:color w:val="7030A0"/>
          <w:sz w:val="36"/>
          <w:szCs w:val="24"/>
        </w:rPr>
        <w:t>Innovación Educativa aplicada para el aprendizaje de “Cimentaciones”</w:t>
      </w:r>
    </w:p>
    <w:p w:rsidR="004B32D9" w:rsidRDefault="004B32D9" w:rsidP="006A7B30">
      <w:pPr>
        <w:spacing w:after="0"/>
        <w:jc w:val="right"/>
        <w:rPr>
          <w:rFonts w:cstheme="minorHAnsi"/>
          <w:i/>
          <w:color w:val="7030A0"/>
          <w:sz w:val="28"/>
          <w:szCs w:val="24"/>
        </w:rPr>
      </w:pPr>
    </w:p>
    <w:p w:rsidR="004B32D9" w:rsidRPr="0054498D" w:rsidRDefault="004B32D9" w:rsidP="006A7B30">
      <w:pPr>
        <w:spacing w:after="0"/>
        <w:jc w:val="right"/>
        <w:rPr>
          <w:rFonts w:cstheme="minorHAnsi"/>
          <w:i/>
          <w:caps/>
          <w:color w:val="7030A0"/>
          <w:sz w:val="24"/>
          <w:szCs w:val="24"/>
          <w:lang w:val="en-US"/>
        </w:rPr>
      </w:pPr>
      <w:r w:rsidRPr="0054498D">
        <w:rPr>
          <w:rFonts w:cstheme="minorHAnsi"/>
          <w:i/>
          <w:color w:val="7030A0"/>
          <w:sz w:val="28"/>
          <w:szCs w:val="24"/>
          <w:lang w:val="en-US"/>
        </w:rPr>
        <w:t>Educational innovation applied for learning "foundations"</w:t>
      </w:r>
    </w:p>
    <w:p w:rsidR="006A7B30" w:rsidRPr="0054498D" w:rsidRDefault="006A7B30" w:rsidP="006A7B30">
      <w:pPr>
        <w:spacing w:after="0"/>
        <w:jc w:val="right"/>
        <w:rPr>
          <w:rFonts w:cstheme="minorHAnsi"/>
          <w:caps/>
          <w:sz w:val="24"/>
          <w:szCs w:val="24"/>
          <w:lang w:val="en-US"/>
        </w:rPr>
      </w:pPr>
    </w:p>
    <w:p w:rsidR="006A7B30" w:rsidRPr="006A7B30" w:rsidRDefault="006A7B30" w:rsidP="006A7B30">
      <w:pPr>
        <w:spacing w:after="0"/>
        <w:jc w:val="right"/>
        <w:rPr>
          <w:rFonts w:cstheme="minorHAnsi"/>
          <w:b/>
          <w:sz w:val="24"/>
          <w:szCs w:val="24"/>
        </w:rPr>
      </w:pPr>
      <w:r w:rsidRPr="006A7B30">
        <w:rPr>
          <w:rFonts w:cstheme="minorHAnsi"/>
          <w:b/>
          <w:sz w:val="24"/>
          <w:szCs w:val="24"/>
        </w:rPr>
        <w:t xml:space="preserve">Ricardo Campos </w:t>
      </w:r>
      <w:proofErr w:type="spellStart"/>
      <w:r w:rsidRPr="006A7B30">
        <w:rPr>
          <w:rFonts w:cstheme="minorHAnsi"/>
          <w:b/>
          <w:sz w:val="24"/>
          <w:szCs w:val="24"/>
        </w:rPr>
        <w:t>Campos</w:t>
      </w:r>
      <w:proofErr w:type="spellEnd"/>
    </w:p>
    <w:p w:rsidR="006A7B30" w:rsidRPr="006A7B30" w:rsidRDefault="006A7B30" w:rsidP="006A7B30">
      <w:pPr>
        <w:spacing w:after="0"/>
        <w:jc w:val="right"/>
        <w:rPr>
          <w:rFonts w:cstheme="minorHAnsi"/>
          <w:sz w:val="24"/>
          <w:szCs w:val="24"/>
        </w:rPr>
      </w:pPr>
      <w:r w:rsidRPr="006A7B30">
        <w:rPr>
          <w:rFonts w:cstheme="minorHAnsi"/>
          <w:sz w:val="24"/>
          <w:szCs w:val="24"/>
        </w:rPr>
        <w:t>Universidad Veracruzana</w:t>
      </w:r>
    </w:p>
    <w:p w:rsidR="006A7B30" w:rsidRDefault="006A7B30" w:rsidP="006A7B30">
      <w:pPr>
        <w:spacing w:after="0"/>
        <w:jc w:val="right"/>
        <w:rPr>
          <w:rFonts w:cstheme="minorHAnsi"/>
          <w:caps/>
          <w:color w:val="FF0000"/>
          <w:sz w:val="24"/>
          <w:szCs w:val="24"/>
        </w:rPr>
      </w:pPr>
      <w:r w:rsidRPr="006A7B30">
        <w:rPr>
          <w:rFonts w:cstheme="minorHAnsi"/>
          <w:color w:val="FF0000"/>
          <w:sz w:val="24"/>
          <w:szCs w:val="24"/>
        </w:rPr>
        <w:t>rcampos@uv.m</w:t>
      </w:r>
      <w:r>
        <w:rPr>
          <w:rFonts w:cstheme="minorHAnsi"/>
          <w:color w:val="FF0000"/>
          <w:sz w:val="24"/>
          <w:szCs w:val="24"/>
        </w:rPr>
        <w:t>x</w:t>
      </w:r>
    </w:p>
    <w:p w:rsidR="006A7B30" w:rsidRDefault="006A7B30" w:rsidP="006A7B30">
      <w:pPr>
        <w:spacing w:after="0" w:line="360" w:lineRule="auto"/>
        <w:rPr>
          <w:rFonts w:cstheme="minorHAnsi"/>
          <w:b/>
          <w:sz w:val="24"/>
          <w:szCs w:val="24"/>
        </w:rPr>
      </w:pPr>
    </w:p>
    <w:p w:rsidR="006A7B30" w:rsidRDefault="006A7B30" w:rsidP="006A7B30">
      <w:pPr>
        <w:spacing w:after="0" w:line="360" w:lineRule="auto"/>
        <w:rPr>
          <w:rFonts w:cstheme="minorHAnsi"/>
          <w:b/>
          <w:sz w:val="24"/>
          <w:szCs w:val="24"/>
        </w:rPr>
      </w:pPr>
    </w:p>
    <w:p w:rsidR="006A7B30" w:rsidRDefault="006A7B30" w:rsidP="006A7B30">
      <w:pPr>
        <w:spacing w:after="0" w:line="360" w:lineRule="auto"/>
        <w:rPr>
          <w:rFonts w:cstheme="minorHAnsi"/>
          <w:b/>
          <w:sz w:val="24"/>
          <w:szCs w:val="24"/>
        </w:rPr>
      </w:pPr>
    </w:p>
    <w:p w:rsidR="006A7B30" w:rsidRPr="006A7B30" w:rsidRDefault="006A7B30" w:rsidP="006A7B30">
      <w:pPr>
        <w:spacing w:after="0" w:line="360" w:lineRule="auto"/>
        <w:rPr>
          <w:rFonts w:cstheme="minorHAnsi"/>
          <w:color w:val="7030A0"/>
          <w:sz w:val="28"/>
          <w:szCs w:val="24"/>
        </w:rPr>
      </w:pPr>
      <w:r w:rsidRPr="006A7B30">
        <w:rPr>
          <w:rFonts w:cstheme="minorHAnsi"/>
          <w:color w:val="7030A0"/>
          <w:sz w:val="28"/>
          <w:szCs w:val="24"/>
        </w:rPr>
        <w:t>Resumen</w:t>
      </w: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 xml:space="preserve">En la Universidad Veracruzana la Innovación Educativa inició con una estrategia denominada “proyecto aula”. La cual significó la transformación de la práctica docente, al involucrar a los académicos de cada área del conocimiento en el diseño y aplicación de una intervención educativa que favorezca el ambiente de aprendizaje adecuado. </w:t>
      </w:r>
    </w:p>
    <w:p w:rsidR="006A7B30" w:rsidRPr="006A7B30" w:rsidRDefault="006A7B30" w:rsidP="006A7B30">
      <w:pPr>
        <w:spacing w:after="0" w:line="360" w:lineRule="auto"/>
        <w:jc w:val="both"/>
        <w:rPr>
          <w:rFonts w:cstheme="minorHAnsi"/>
          <w:sz w:val="24"/>
          <w:szCs w:val="24"/>
        </w:rPr>
      </w:pPr>
      <w:r w:rsidRPr="004B32D9">
        <w:rPr>
          <w:rFonts w:ascii="Times New Roman" w:hAnsi="Times New Roman" w:cs="Times New Roman"/>
          <w:sz w:val="24"/>
          <w:szCs w:val="24"/>
        </w:rPr>
        <w:t>El presente estudio muestra los resultados de la intervención aplicada en la experiencia educativa cimentaciones, correspondiente al periodo agosto 2011-enero 2012 y desarrollada de acuerdo a los lineamientos generales del proyecto aula. El proyecto se basó en la puntualidad  presentación y contenido de lecturas,  exposiciones y trabajos integrados y grupales con objetivos precisos extraídos de explicaciones y planteamientos teóricos y funcionales expuestos en el aula por el Académico guía. Las tareas individuales sirvieron para evaluar parcialmente y finalmente a los estudiantes, sustituyendo así,  los cuestionarios temáticos. Hubo comunicación estratégica vía internet. Y la aplicación de software fue diversa y a opción libre por parte de los estudiantes.</w:t>
      </w:r>
      <w:r w:rsidRPr="006A7B30">
        <w:rPr>
          <w:rFonts w:cstheme="minorHAnsi"/>
          <w:sz w:val="24"/>
          <w:szCs w:val="24"/>
        </w:rPr>
        <w:t xml:space="preserve"> </w:t>
      </w:r>
    </w:p>
    <w:p w:rsidR="006A7B30" w:rsidRDefault="006A7B30" w:rsidP="006A7B30">
      <w:pPr>
        <w:spacing w:after="0" w:line="360" w:lineRule="auto"/>
        <w:jc w:val="both"/>
        <w:rPr>
          <w:rFonts w:ascii="Times New Roman" w:hAnsi="Times New Roman" w:cs="Times New Roman"/>
          <w:sz w:val="24"/>
          <w:szCs w:val="24"/>
        </w:rPr>
      </w:pPr>
      <w:r w:rsidRPr="006A7B30">
        <w:rPr>
          <w:rFonts w:cstheme="minorHAnsi"/>
          <w:color w:val="7030A0"/>
          <w:sz w:val="28"/>
          <w:szCs w:val="24"/>
        </w:rPr>
        <w:t>Palabras clave:</w:t>
      </w:r>
      <w:r w:rsidRPr="006A7B30">
        <w:rPr>
          <w:rFonts w:cstheme="minorHAnsi"/>
          <w:sz w:val="28"/>
          <w:szCs w:val="24"/>
        </w:rPr>
        <w:t xml:space="preserve"> </w:t>
      </w:r>
      <w:r w:rsidRPr="004B32D9">
        <w:rPr>
          <w:rFonts w:ascii="Times New Roman" w:hAnsi="Times New Roman" w:cs="Times New Roman"/>
          <w:sz w:val="24"/>
          <w:szCs w:val="24"/>
        </w:rPr>
        <w:t>Motivación; solidaridad; eficiencia.</w:t>
      </w:r>
    </w:p>
    <w:p w:rsidR="004B32D9" w:rsidRDefault="004B32D9" w:rsidP="006A7B30">
      <w:pPr>
        <w:spacing w:after="0" w:line="360" w:lineRule="auto"/>
        <w:jc w:val="both"/>
        <w:rPr>
          <w:rFonts w:cstheme="minorHAnsi"/>
          <w:color w:val="7030A0"/>
          <w:sz w:val="28"/>
          <w:szCs w:val="24"/>
        </w:rPr>
      </w:pPr>
    </w:p>
    <w:p w:rsidR="004B32D9" w:rsidRPr="0054498D" w:rsidRDefault="004B32D9" w:rsidP="006A7B30">
      <w:pPr>
        <w:spacing w:after="0" w:line="360" w:lineRule="auto"/>
        <w:jc w:val="both"/>
        <w:rPr>
          <w:rFonts w:cstheme="minorHAnsi"/>
          <w:color w:val="7030A0"/>
          <w:sz w:val="28"/>
          <w:szCs w:val="24"/>
          <w:lang w:val="en-US"/>
        </w:rPr>
      </w:pPr>
      <w:r w:rsidRPr="0054498D">
        <w:rPr>
          <w:rFonts w:cstheme="minorHAnsi"/>
          <w:color w:val="7030A0"/>
          <w:sz w:val="28"/>
          <w:szCs w:val="24"/>
          <w:lang w:val="en-US"/>
        </w:rPr>
        <w:t>Abstract</w:t>
      </w:r>
    </w:p>
    <w:p w:rsidR="004B32D9" w:rsidRPr="0054498D" w:rsidRDefault="004B32D9" w:rsidP="004B32D9">
      <w:pPr>
        <w:spacing w:after="0" w:line="360" w:lineRule="auto"/>
        <w:jc w:val="both"/>
        <w:rPr>
          <w:rFonts w:ascii="Times New Roman" w:hAnsi="Times New Roman" w:cs="Times New Roman"/>
          <w:sz w:val="24"/>
          <w:szCs w:val="24"/>
          <w:lang w:val="en-US"/>
        </w:rPr>
      </w:pPr>
      <w:r w:rsidRPr="0054498D">
        <w:rPr>
          <w:rFonts w:ascii="Times New Roman" w:hAnsi="Times New Roman" w:cs="Times New Roman"/>
          <w:sz w:val="24"/>
          <w:szCs w:val="24"/>
          <w:lang w:val="en-US"/>
        </w:rPr>
        <w:t>At the Universidad Veracruzana Educational Innovation he began with a strategy called "classroom project". Which meant the transformation of teaching practice, to involve academics in each area of ​​knowledge in the design and implementation of an educational intervention that promotes proper learning environment.</w:t>
      </w:r>
    </w:p>
    <w:p w:rsidR="004B32D9" w:rsidRPr="0054498D" w:rsidRDefault="004B32D9" w:rsidP="004B32D9">
      <w:pPr>
        <w:spacing w:line="360" w:lineRule="auto"/>
        <w:jc w:val="both"/>
        <w:rPr>
          <w:rFonts w:cstheme="minorHAnsi"/>
          <w:sz w:val="24"/>
          <w:szCs w:val="24"/>
          <w:lang w:val="en-US"/>
        </w:rPr>
      </w:pPr>
      <w:r w:rsidRPr="0054498D">
        <w:rPr>
          <w:rFonts w:ascii="Times New Roman" w:hAnsi="Times New Roman" w:cs="Times New Roman"/>
          <w:sz w:val="24"/>
          <w:szCs w:val="24"/>
          <w:lang w:val="en-US"/>
        </w:rPr>
        <w:t xml:space="preserve">This study shows the results of the intervention applied in the educational experience foundation, for the period August 2011 to January 2012 and developed according to the general guidelines of the classroom project. The </w:t>
      </w:r>
      <w:r w:rsidRPr="0054498D">
        <w:rPr>
          <w:rFonts w:ascii="Times New Roman" w:hAnsi="Times New Roman" w:cs="Times New Roman"/>
          <w:sz w:val="24"/>
          <w:szCs w:val="24"/>
          <w:lang w:val="en-US"/>
        </w:rPr>
        <w:lastRenderedPageBreak/>
        <w:t>project was based on the timely presentation and content of lectures, exhibitions and integrated and group work with precise objectives and explanations drawn from theoretical and functional approach presented in the classroom by the Academic guide. Individual tasks served to partially evaluate and finally to students, replacing, thematic questionnaires. There were strategic communication via the Internet. And the software application was diverse and free choice by students.</w:t>
      </w:r>
    </w:p>
    <w:p w:rsidR="004B32D9" w:rsidRPr="0054498D" w:rsidRDefault="004B32D9" w:rsidP="004B32D9">
      <w:pPr>
        <w:spacing w:line="360" w:lineRule="auto"/>
        <w:jc w:val="both"/>
        <w:rPr>
          <w:rFonts w:ascii="Times New Roman" w:hAnsi="Times New Roman" w:cs="Times New Roman"/>
          <w:sz w:val="24"/>
          <w:szCs w:val="24"/>
          <w:lang w:val="en-US"/>
        </w:rPr>
      </w:pPr>
      <w:r w:rsidRPr="0054498D">
        <w:rPr>
          <w:rFonts w:cstheme="minorHAnsi"/>
          <w:color w:val="7030A0"/>
          <w:sz w:val="28"/>
          <w:szCs w:val="24"/>
          <w:lang w:val="en-US"/>
        </w:rPr>
        <w:t>Key words:</w:t>
      </w:r>
      <w:r w:rsidRPr="0054498D">
        <w:rPr>
          <w:rFonts w:cstheme="minorHAnsi"/>
          <w:sz w:val="24"/>
          <w:szCs w:val="24"/>
          <w:lang w:val="en-US"/>
        </w:rPr>
        <w:t xml:space="preserve"> </w:t>
      </w:r>
      <w:r w:rsidRPr="0054498D">
        <w:rPr>
          <w:rFonts w:ascii="Times New Roman" w:hAnsi="Times New Roman" w:cs="Times New Roman"/>
          <w:sz w:val="24"/>
          <w:szCs w:val="24"/>
          <w:lang w:val="en-US"/>
        </w:rPr>
        <w:t>Motivation; solidarity; efficiency.</w:t>
      </w:r>
    </w:p>
    <w:p w:rsidR="004B32D9" w:rsidRDefault="004B32D9" w:rsidP="004B32D9">
      <w:pPr>
        <w:spacing w:after="0" w:line="360" w:lineRule="auto"/>
        <w:jc w:val="both"/>
        <w:rPr>
          <w:rFonts w:cstheme="minorHAnsi"/>
          <w:sz w:val="24"/>
          <w:szCs w:val="24"/>
        </w:rPr>
      </w:pPr>
      <w:r w:rsidRPr="0054498D">
        <w:rPr>
          <w:rFonts w:ascii="Times New Roman" w:hAnsi="Times New Roman"/>
          <w:b/>
          <w:sz w:val="24"/>
        </w:rPr>
        <w:t>Fecha recepción:</w:t>
      </w:r>
      <w:r w:rsidRPr="0054498D">
        <w:rPr>
          <w:rFonts w:ascii="Times New Roman" w:hAnsi="Times New Roman"/>
          <w:sz w:val="24"/>
        </w:rPr>
        <w:t xml:space="preserve">   Julio 2014                                                 </w:t>
      </w:r>
      <w:r w:rsidRPr="0054498D">
        <w:rPr>
          <w:rFonts w:ascii="Times New Roman" w:hAnsi="Times New Roman"/>
          <w:b/>
          <w:sz w:val="24"/>
        </w:rPr>
        <w:t>Fecha aceptación:</w:t>
      </w:r>
      <w:r w:rsidRPr="0054498D">
        <w:rPr>
          <w:rFonts w:ascii="Times New Roman" w:hAnsi="Times New Roman"/>
          <w:sz w:val="24"/>
        </w:rPr>
        <w:t xml:space="preserve"> Septiembre 2014</w:t>
      </w:r>
    </w:p>
    <w:p w:rsidR="006A7B30" w:rsidRDefault="00A5651A" w:rsidP="006A7B30">
      <w:pPr>
        <w:spacing w:after="0" w:line="360" w:lineRule="auto"/>
        <w:jc w:val="both"/>
        <w:rPr>
          <w:rFonts w:cstheme="minorHAnsi"/>
          <w:b/>
          <w:sz w:val="24"/>
          <w:szCs w:val="24"/>
        </w:rPr>
      </w:pPr>
      <w:r>
        <w:rPr>
          <w:rFonts w:cstheme="minorHAnsi"/>
          <w:b/>
          <w:sz w:val="24"/>
          <w:szCs w:val="24"/>
        </w:rPr>
        <w:pict>
          <v:rect id="_x0000_i1025" style="width:0;height:1.5pt" o:hralign="center" o:hrstd="t" o:hr="t" fillcolor="#a0a0a0" stroked="f"/>
        </w:pict>
      </w:r>
    </w:p>
    <w:p w:rsidR="006A7B30" w:rsidRDefault="006A7B30" w:rsidP="006A7B30">
      <w:pPr>
        <w:spacing w:after="0" w:line="360" w:lineRule="auto"/>
        <w:jc w:val="both"/>
        <w:rPr>
          <w:rFonts w:cstheme="minorHAnsi"/>
          <w:b/>
          <w:sz w:val="24"/>
          <w:szCs w:val="24"/>
        </w:rPr>
      </w:pPr>
    </w:p>
    <w:p w:rsidR="004B32D9" w:rsidRDefault="004B32D9" w:rsidP="006A7B30">
      <w:pPr>
        <w:spacing w:after="0" w:line="360" w:lineRule="auto"/>
        <w:jc w:val="both"/>
        <w:rPr>
          <w:rFonts w:cs="Calibri"/>
          <w:color w:val="7030A0"/>
          <w:sz w:val="28"/>
          <w:szCs w:val="24"/>
        </w:rPr>
      </w:pPr>
    </w:p>
    <w:p w:rsidR="006A7B30" w:rsidRDefault="004B32D9" w:rsidP="006A7B30">
      <w:pPr>
        <w:spacing w:after="0" w:line="360" w:lineRule="auto"/>
        <w:jc w:val="both"/>
        <w:rPr>
          <w:rFonts w:cstheme="minorHAnsi"/>
          <w:b/>
          <w:sz w:val="24"/>
          <w:szCs w:val="24"/>
        </w:rPr>
      </w:pPr>
      <w:r w:rsidRPr="006D3F94">
        <w:rPr>
          <w:rFonts w:cs="Calibri"/>
          <w:color w:val="7030A0"/>
          <w:sz w:val="28"/>
          <w:szCs w:val="24"/>
        </w:rPr>
        <w:t>Introducción</w:t>
      </w:r>
    </w:p>
    <w:p w:rsidR="006A7B30" w:rsidRDefault="006A7B30" w:rsidP="006A7B30">
      <w:pPr>
        <w:spacing w:after="0" w:line="360" w:lineRule="auto"/>
        <w:jc w:val="both"/>
        <w:rPr>
          <w:rFonts w:cstheme="minorHAnsi"/>
          <w:b/>
          <w:sz w:val="24"/>
          <w:szCs w:val="24"/>
        </w:rPr>
      </w:pPr>
      <w:r w:rsidRPr="006A7B30">
        <w:rPr>
          <w:rFonts w:cstheme="minorHAnsi"/>
          <w:b/>
          <w:sz w:val="24"/>
          <w:szCs w:val="24"/>
        </w:rPr>
        <w:t>Contexto de la intervención.</w:t>
      </w:r>
    </w:p>
    <w:p w:rsidR="006A7B30" w:rsidRPr="006A7B30" w:rsidRDefault="006A7B30" w:rsidP="006A7B30">
      <w:pPr>
        <w:spacing w:after="0" w:line="360" w:lineRule="auto"/>
        <w:jc w:val="both"/>
        <w:rPr>
          <w:rFonts w:cstheme="minorHAnsi"/>
          <w:b/>
          <w:sz w:val="24"/>
          <w:szCs w:val="24"/>
        </w:rPr>
      </w:pP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 xml:space="preserve">La mayoría de los estudiantes, provenían geográficamente de la cuenca del Río Papaloapan y de la región de los </w:t>
      </w:r>
      <w:proofErr w:type="spellStart"/>
      <w:r w:rsidRPr="004B32D9">
        <w:rPr>
          <w:rFonts w:ascii="Times New Roman" w:hAnsi="Times New Roman" w:cs="Times New Roman"/>
          <w:sz w:val="24"/>
          <w:szCs w:val="24"/>
        </w:rPr>
        <w:t>Tuxtlas</w:t>
      </w:r>
      <w:proofErr w:type="spellEnd"/>
      <w:r w:rsidRPr="004B32D9">
        <w:rPr>
          <w:rFonts w:ascii="Times New Roman" w:hAnsi="Times New Roman" w:cs="Times New Roman"/>
          <w:sz w:val="24"/>
          <w:szCs w:val="24"/>
        </w:rPr>
        <w:t>. Por lo tanto, habitaban en pensiones escolares y supuestamente contaban con todo el tiempo para desarrollar sus trabajos de casa.</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El 25.64 %, fueron mujeres y el 74.36 %, hombres.</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Los alumnos, en un 20.51 %, no habían cursado experiencias educativas con conceptos antecedentes básicos para desarrollar con mayor profundidad las sub-competencias. Sin embargo, se ajustaron los temas a la práctica común, lo que dio buen resultado en el aprovechamiento de los estudiantes. Debido a la mediatización y principalmente promoción de los temas.</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Respecto al grupo en general, muchos de ellos no tenían completa la ruta de acceso al tema central de la experiencia educativa en cuestión. Algunos la tomaron en acceso directo es decir, casi sin antecedentes conceptuales, esto tuvo como consecuencia en los hechos, que estos estudiantes fueron prácticamente arrastrados por sus compañeros de brigada o grupo de trabajo. Ya que colaboraron de manera pasiva y con casi nula creatividad. Esta situación se fue superando con el trabajo cotidiano en constante consulta con el profesor. Todo el grupo se dividió en 10 brigadas, con encomiendas especiales; pero todas vinculadas con los objetivos considerados en el programa.</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 xml:space="preserve">Todos los trabajos se revisaron y se comentaron de manera general en el proceso dentro del aula. En todo momento, se trabajó en superar los aspectos cognoscitivos diferenciales de los alumnos para minimizar las </w:t>
      </w:r>
      <w:r w:rsidRPr="004B32D9">
        <w:rPr>
          <w:rFonts w:ascii="Times New Roman" w:hAnsi="Times New Roman" w:cs="Times New Roman"/>
          <w:sz w:val="24"/>
          <w:szCs w:val="24"/>
        </w:rPr>
        <w:lastRenderedPageBreak/>
        <w:t>limitaciones que de entrada impedían cubrir los aspectos mínimos de entrada establecidos en este proyecto, a saber:</w:t>
      </w:r>
    </w:p>
    <w:p w:rsidR="006A7B30" w:rsidRPr="004B32D9" w:rsidRDefault="006A7B30" w:rsidP="004B32D9">
      <w:pPr>
        <w:spacing w:after="0" w:line="360" w:lineRule="auto"/>
        <w:jc w:val="both"/>
        <w:rPr>
          <w:rFonts w:ascii="Times New Roman" w:hAnsi="Times New Roman" w:cs="Times New Roman"/>
          <w:b/>
          <w:sz w:val="24"/>
          <w:szCs w:val="24"/>
        </w:rPr>
      </w:pPr>
      <w:r w:rsidRPr="004B32D9">
        <w:rPr>
          <w:rFonts w:ascii="Times New Roman" w:hAnsi="Times New Roman" w:cs="Times New Roman"/>
          <w:b/>
          <w:sz w:val="24"/>
          <w:szCs w:val="24"/>
        </w:rPr>
        <w:t>Competencias adquiridas por el estudiante, recomendables para iniciar la experiencia educativa “Cimentaciones”</w:t>
      </w:r>
    </w:p>
    <w:p w:rsidR="006A7B30" w:rsidRPr="004B32D9" w:rsidRDefault="006A7B30" w:rsidP="004B32D9">
      <w:pPr>
        <w:pStyle w:val="Prrafodelista"/>
        <w:numPr>
          <w:ilvl w:val="0"/>
          <w:numId w:val="1"/>
        </w:num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Manejo claro</w:t>
      </w:r>
      <w:r w:rsidRPr="004B32D9">
        <w:rPr>
          <w:rFonts w:ascii="Times New Roman" w:hAnsi="Times New Roman" w:cs="Times New Roman"/>
          <w:b/>
          <w:sz w:val="24"/>
          <w:szCs w:val="24"/>
        </w:rPr>
        <w:t xml:space="preserve"> </w:t>
      </w:r>
      <w:r w:rsidRPr="004B32D9">
        <w:rPr>
          <w:rFonts w:ascii="Times New Roman" w:hAnsi="Times New Roman" w:cs="Times New Roman"/>
          <w:sz w:val="24"/>
          <w:szCs w:val="24"/>
        </w:rPr>
        <w:t xml:space="preserve">de los saberes en matemáticas: cálculo: diferencial e integral, álgebra vectorial, ecuaciones diferenciales. </w:t>
      </w:r>
    </w:p>
    <w:p w:rsidR="006A7B30" w:rsidRPr="004B32D9" w:rsidRDefault="006A7B30" w:rsidP="004B32D9">
      <w:pPr>
        <w:pStyle w:val="Prrafodelista"/>
        <w:numPr>
          <w:ilvl w:val="0"/>
          <w:numId w:val="1"/>
        </w:num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Dominio de las partes de la física: estática, cinemática, cinética,  hidrostática, hidrodinámica.</w:t>
      </w:r>
    </w:p>
    <w:p w:rsidR="006A7B30" w:rsidRPr="004B32D9" w:rsidRDefault="006A7B30" w:rsidP="004B32D9">
      <w:pPr>
        <w:pStyle w:val="Prrafodelista"/>
        <w:numPr>
          <w:ilvl w:val="0"/>
          <w:numId w:val="1"/>
        </w:num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 xml:space="preserve"> Conocimiento de los materiales y dominio en el entendimiento de conceptos del comportamiento físico como: esfuerzo, deformación, resistencia, dureza, rigidez, flexibilidad, viscosidad, fluidez, tiempo de aplicación, tiempo de ocurrencia, etc. Y sus distintas relaciones.  </w:t>
      </w:r>
    </w:p>
    <w:p w:rsidR="006A7B30" w:rsidRPr="004B32D9" w:rsidRDefault="006A7B30" w:rsidP="004B32D9">
      <w:pPr>
        <w:pStyle w:val="Prrafodelista"/>
        <w:numPr>
          <w:ilvl w:val="0"/>
          <w:numId w:val="1"/>
        </w:num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Dominio de los conceptos básicos del análisis estructural y nociones de diseño.</w:t>
      </w:r>
    </w:p>
    <w:p w:rsidR="006A7B30" w:rsidRPr="004B32D9" w:rsidRDefault="006A7B30" w:rsidP="004B32D9">
      <w:pPr>
        <w:pStyle w:val="Prrafodelista"/>
        <w:numPr>
          <w:ilvl w:val="0"/>
          <w:numId w:val="1"/>
        </w:num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Conocimiento de las características de los cuerpos deformables, sometidos a estados de esfuerzos cualesquiera y sus deformaciones de acuerdo a los tiempos de aplicación y tiempos de ocurrencia.</w:t>
      </w:r>
    </w:p>
    <w:p w:rsidR="006A7B30" w:rsidRPr="004B32D9" w:rsidRDefault="006A7B30" w:rsidP="004B32D9">
      <w:pPr>
        <w:pStyle w:val="Prrafodelista"/>
        <w:numPr>
          <w:ilvl w:val="0"/>
          <w:numId w:val="1"/>
        </w:num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Dominio del funcionamiento de los modelos fundamentales: Hooke, Coulomb y Newton lineal y no lineal.</w:t>
      </w:r>
    </w:p>
    <w:p w:rsidR="006A7B30" w:rsidRPr="004B32D9" w:rsidRDefault="006A7B30" w:rsidP="004B32D9">
      <w:pPr>
        <w:pStyle w:val="Prrafodelista"/>
        <w:numPr>
          <w:ilvl w:val="0"/>
          <w:numId w:val="1"/>
        </w:num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Dominio de los métodos de clasificación de suelos y rocas y así,  conocer sus propiedades índice y mecánicas a partir de su origen y tipo de estructura.</w:t>
      </w:r>
    </w:p>
    <w:p w:rsidR="006A7B30" w:rsidRPr="004B32D9" w:rsidRDefault="006A7B30" w:rsidP="004B32D9">
      <w:pPr>
        <w:pStyle w:val="Prrafodelista"/>
        <w:numPr>
          <w:ilvl w:val="0"/>
          <w:numId w:val="1"/>
        </w:num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 xml:space="preserve">Conocimiento de los distintos modelos representativos del comportamiento mecánico del suelo y la pieza de cimentación, relativos </w:t>
      </w:r>
      <w:proofErr w:type="gramStart"/>
      <w:r w:rsidRPr="004B32D9">
        <w:rPr>
          <w:rFonts w:ascii="Times New Roman" w:hAnsi="Times New Roman" w:cs="Times New Roman"/>
          <w:sz w:val="24"/>
          <w:szCs w:val="24"/>
        </w:rPr>
        <w:t>a</w:t>
      </w:r>
      <w:proofErr w:type="gramEnd"/>
      <w:r w:rsidRPr="004B32D9">
        <w:rPr>
          <w:rFonts w:ascii="Times New Roman" w:hAnsi="Times New Roman" w:cs="Times New Roman"/>
          <w:sz w:val="24"/>
          <w:szCs w:val="24"/>
        </w:rPr>
        <w:t>: capacidad de carga, asentamientos, estabilidad de taludes, empuje de suelos. En materiales secos y con presencia de agua estática y en movimiento.</w:t>
      </w:r>
    </w:p>
    <w:p w:rsidR="006A7B30" w:rsidRPr="004B32D9" w:rsidRDefault="006A7B30" w:rsidP="004B32D9">
      <w:pPr>
        <w:spacing w:after="0" w:line="360" w:lineRule="auto"/>
        <w:ind w:left="360"/>
        <w:jc w:val="both"/>
        <w:rPr>
          <w:rFonts w:ascii="Times New Roman" w:hAnsi="Times New Roman" w:cs="Times New Roman"/>
          <w:sz w:val="24"/>
          <w:szCs w:val="24"/>
        </w:rPr>
      </w:pPr>
    </w:p>
    <w:p w:rsidR="006A7B30" w:rsidRPr="004B32D9" w:rsidRDefault="006A7B30" w:rsidP="004B32D9">
      <w:pPr>
        <w:spacing w:after="0" w:line="360" w:lineRule="auto"/>
        <w:jc w:val="both"/>
        <w:rPr>
          <w:rFonts w:ascii="Times New Roman" w:hAnsi="Times New Roman" w:cs="Times New Roman"/>
          <w:b/>
          <w:sz w:val="24"/>
          <w:szCs w:val="24"/>
        </w:rPr>
      </w:pPr>
      <w:r w:rsidRPr="004B32D9">
        <w:rPr>
          <w:rFonts w:ascii="Times New Roman" w:hAnsi="Times New Roman" w:cs="Times New Roman"/>
          <w:b/>
          <w:sz w:val="24"/>
          <w:szCs w:val="24"/>
        </w:rPr>
        <w:t>Descripción de la intervención.</w:t>
      </w:r>
    </w:p>
    <w:p w:rsidR="006A7B30" w:rsidRPr="004B32D9" w:rsidRDefault="006A7B30" w:rsidP="004B32D9">
      <w:pPr>
        <w:spacing w:after="0" w:line="360" w:lineRule="auto"/>
        <w:jc w:val="both"/>
        <w:rPr>
          <w:rFonts w:ascii="Times New Roman" w:hAnsi="Times New Roman" w:cs="Times New Roman"/>
          <w:b/>
          <w:sz w:val="24"/>
          <w:szCs w:val="24"/>
        </w:rPr>
      </w:pP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 xml:space="preserve">En esta Experiencia Educativa el estudiante profundiza sus conocimientos sobre distintos tipos de cimentaciones someras, intermedias y profundas, visualizándolas como sistemas acoplados de piezas y tipos de subsuelo. Con su conocimiento puede encontrar la solución óptima aplicando en todo momento los conceptos de equilibrio y estabilidad, para lo cual considerará el concepto de factor de seguridad; compatibilidad, tomando en cuenta las rigideces de la estructura artificial y de la estructura natural, influyendo en la superficie de contacto mutua o interface; viabilidad, haciendo concordar sus planteamientos y soluciones teóricas con los procesos posibles de ejecutar y cumplir en la etapas constructiva y funcional, durante la vida útil de la Obra. Y finalmente; duración, en relación a la consistencia de las condiciones de proyecto durante el tiempo funcional de la obra, tanto en los factores críticos como ordinarios considerados en los cálculos, es decir, que exista un </w:t>
      </w:r>
      <w:r w:rsidRPr="004B32D9">
        <w:rPr>
          <w:rFonts w:ascii="Times New Roman" w:hAnsi="Times New Roman" w:cs="Times New Roman"/>
          <w:sz w:val="24"/>
          <w:szCs w:val="24"/>
        </w:rPr>
        <w:lastRenderedPageBreak/>
        <w:t>adecuado grado de certidumbre en los factores involucrados en el proyecto definitivo. Todo esto siempre cumpliendo con los principios que establecen la calidad, la economía racional, la seguridad al medio ambiente y el respeto a operarios, usuarios, vecinos y ciudadanía en general. Con el objetivo fundamental de alcanzar para la concepción de la obra civil, un éxito rotundo.</w:t>
      </w:r>
    </w:p>
    <w:p w:rsidR="006A7B30" w:rsidRPr="004B32D9" w:rsidRDefault="006A7B30" w:rsidP="004B32D9">
      <w:pPr>
        <w:spacing w:after="0" w:line="360" w:lineRule="auto"/>
        <w:ind w:left="360"/>
        <w:jc w:val="both"/>
        <w:rPr>
          <w:rFonts w:ascii="Times New Roman" w:hAnsi="Times New Roman" w:cs="Times New Roman"/>
          <w:sz w:val="24"/>
          <w:szCs w:val="24"/>
        </w:rPr>
      </w:pPr>
    </w:p>
    <w:p w:rsidR="006A7B30" w:rsidRPr="004B32D9" w:rsidRDefault="006A7B30" w:rsidP="004B32D9">
      <w:pPr>
        <w:spacing w:after="0" w:line="360" w:lineRule="auto"/>
        <w:ind w:left="360"/>
        <w:jc w:val="both"/>
        <w:rPr>
          <w:rFonts w:ascii="Times New Roman" w:hAnsi="Times New Roman" w:cs="Times New Roman"/>
          <w:sz w:val="24"/>
          <w:szCs w:val="24"/>
        </w:rPr>
      </w:pPr>
    </w:p>
    <w:p w:rsidR="006A7B30" w:rsidRPr="004B32D9" w:rsidRDefault="006A7B30" w:rsidP="004B32D9">
      <w:pPr>
        <w:spacing w:after="0" w:line="360" w:lineRule="auto"/>
        <w:jc w:val="both"/>
        <w:rPr>
          <w:rFonts w:ascii="Times New Roman" w:hAnsi="Times New Roman" w:cs="Times New Roman"/>
          <w:b/>
          <w:sz w:val="24"/>
          <w:szCs w:val="24"/>
        </w:rPr>
      </w:pPr>
      <w:r w:rsidRPr="004B32D9">
        <w:rPr>
          <w:rFonts w:ascii="Times New Roman" w:hAnsi="Times New Roman" w:cs="Times New Roman"/>
          <w:b/>
          <w:sz w:val="24"/>
          <w:szCs w:val="24"/>
        </w:rPr>
        <w:t>Tareas/Proyectos de aprendizaje, clases de tareas, objetivos de desempeño</w:t>
      </w:r>
    </w:p>
    <w:p w:rsidR="006A7B30" w:rsidRPr="004B32D9" w:rsidRDefault="006A7B30" w:rsidP="004B32D9">
      <w:pPr>
        <w:spacing w:after="0" w:line="360" w:lineRule="auto"/>
        <w:jc w:val="both"/>
        <w:rPr>
          <w:rFonts w:ascii="Times New Roman" w:hAnsi="Times New Roman" w:cs="Times New Roman"/>
          <w:b/>
          <w:sz w:val="24"/>
          <w:szCs w:val="24"/>
        </w:rPr>
      </w:pPr>
      <w:r w:rsidRPr="004B32D9">
        <w:rPr>
          <w:rFonts w:ascii="Times New Roman" w:hAnsi="Times New Roman" w:cs="Times New Roman"/>
          <w:b/>
          <w:sz w:val="24"/>
          <w:szCs w:val="24"/>
        </w:rPr>
        <w:t>(</w:t>
      </w:r>
      <w:proofErr w:type="gramStart"/>
      <w:r w:rsidRPr="004B32D9">
        <w:rPr>
          <w:rFonts w:ascii="Times New Roman" w:hAnsi="Times New Roman" w:cs="Times New Roman"/>
          <w:b/>
          <w:sz w:val="24"/>
          <w:szCs w:val="24"/>
        </w:rPr>
        <w:t>sub</w:t>
      </w:r>
      <w:proofErr w:type="gramEnd"/>
      <w:r w:rsidRPr="004B32D9">
        <w:rPr>
          <w:rFonts w:ascii="Times New Roman" w:hAnsi="Times New Roman" w:cs="Times New Roman"/>
          <w:b/>
          <w:sz w:val="24"/>
          <w:szCs w:val="24"/>
        </w:rPr>
        <w:t xml:space="preserve"> competencias)</w:t>
      </w:r>
    </w:p>
    <w:p w:rsidR="006A7B30" w:rsidRPr="004B32D9" w:rsidRDefault="006A7B30" w:rsidP="004B32D9">
      <w:pPr>
        <w:spacing w:after="0" w:line="360" w:lineRule="auto"/>
        <w:jc w:val="both"/>
        <w:rPr>
          <w:rFonts w:ascii="Times New Roman" w:hAnsi="Times New Roman" w:cs="Times New Roman"/>
          <w:sz w:val="24"/>
          <w:szCs w:val="24"/>
        </w:rPr>
      </w:pPr>
    </w:p>
    <w:p w:rsidR="006A7B30" w:rsidRPr="004B32D9" w:rsidRDefault="006A7B30" w:rsidP="004B32D9">
      <w:pPr>
        <w:pStyle w:val="Prrafodelista"/>
        <w:numPr>
          <w:ilvl w:val="0"/>
          <w:numId w:val="1"/>
        </w:numPr>
        <w:spacing w:after="0" w:line="360" w:lineRule="auto"/>
        <w:ind w:left="0" w:firstLine="0"/>
        <w:jc w:val="both"/>
        <w:rPr>
          <w:rFonts w:ascii="Times New Roman" w:hAnsi="Times New Roman" w:cs="Times New Roman"/>
          <w:b/>
          <w:sz w:val="24"/>
          <w:szCs w:val="24"/>
        </w:rPr>
      </w:pPr>
      <w:r w:rsidRPr="004B32D9">
        <w:rPr>
          <w:rFonts w:ascii="Times New Roman" w:hAnsi="Times New Roman" w:cs="Times New Roman"/>
          <w:b/>
          <w:sz w:val="24"/>
          <w:szCs w:val="24"/>
        </w:rPr>
        <w:t>Nivel 1 ( sub competencia 1)</w:t>
      </w:r>
    </w:p>
    <w:p w:rsidR="006A7B30" w:rsidRPr="004B32D9" w:rsidRDefault="006A7B30" w:rsidP="004B32D9">
      <w:pPr>
        <w:spacing w:after="0" w:line="360" w:lineRule="auto"/>
        <w:jc w:val="both"/>
        <w:rPr>
          <w:rFonts w:ascii="Times New Roman" w:hAnsi="Times New Roman" w:cs="Times New Roman"/>
          <w:sz w:val="24"/>
          <w:szCs w:val="24"/>
        </w:rPr>
      </w:pPr>
    </w:p>
    <w:p w:rsidR="006A7B30" w:rsidRPr="004B32D9" w:rsidRDefault="006A7B30" w:rsidP="004B32D9">
      <w:pPr>
        <w:pStyle w:val="Prrafodelista"/>
        <w:spacing w:after="0" w:line="360" w:lineRule="auto"/>
        <w:ind w:left="0"/>
        <w:jc w:val="both"/>
        <w:rPr>
          <w:rFonts w:ascii="Times New Roman" w:hAnsi="Times New Roman" w:cs="Times New Roman"/>
          <w:i/>
          <w:sz w:val="24"/>
          <w:szCs w:val="24"/>
        </w:rPr>
      </w:pPr>
      <w:r w:rsidRPr="004B32D9">
        <w:rPr>
          <w:rFonts w:ascii="Times New Roman" w:hAnsi="Times New Roman" w:cs="Times New Roman"/>
          <w:i/>
          <w:sz w:val="24"/>
          <w:szCs w:val="24"/>
        </w:rPr>
        <w:t>Tarea:</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Investigar sobre los distintos tipos de subsuelo y de tipos de piezas de cimentación y relacionarlos  a partir de una percepción intuitiva, en sistemas acoplados o cimentaciones posibles. Rendir un informe claro y conciso con las observaciones relativas a las posibles ventajas de cada caso. Este informe será exclusivamente personal, después de una sesión de comentarios generales.</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 xml:space="preserve">Para tener noción de la complejidad en las distintas cimentaciones, investigar sobre un ejemplo, en cada caso, de cimentaciones en obras civiles reales como: edificios, puentes, muelles, carreteras y embalses de agua o represas. </w:t>
      </w:r>
    </w:p>
    <w:p w:rsidR="006A7B30" w:rsidRPr="004B32D9" w:rsidRDefault="006A7B30" w:rsidP="004B32D9">
      <w:pPr>
        <w:spacing w:after="0" w:line="360" w:lineRule="auto"/>
        <w:jc w:val="both"/>
        <w:rPr>
          <w:rFonts w:ascii="Times New Roman" w:hAnsi="Times New Roman" w:cs="Times New Roman"/>
          <w:sz w:val="24"/>
          <w:szCs w:val="24"/>
        </w:rPr>
      </w:pPr>
    </w:p>
    <w:p w:rsidR="006A7B30" w:rsidRPr="004B32D9" w:rsidRDefault="006A7B30" w:rsidP="004B32D9">
      <w:pPr>
        <w:pStyle w:val="Prrafodelista"/>
        <w:numPr>
          <w:ilvl w:val="0"/>
          <w:numId w:val="1"/>
        </w:numPr>
        <w:spacing w:after="0" w:line="360" w:lineRule="auto"/>
        <w:ind w:left="0" w:firstLine="0"/>
        <w:jc w:val="both"/>
        <w:rPr>
          <w:rFonts w:ascii="Times New Roman" w:hAnsi="Times New Roman" w:cs="Times New Roman"/>
          <w:i/>
          <w:sz w:val="24"/>
          <w:szCs w:val="24"/>
        </w:rPr>
      </w:pPr>
      <w:r w:rsidRPr="004B32D9">
        <w:rPr>
          <w:rFonts w:ascii="Times New Roman" w:hAnsi="Times New Roman" w:cs="Times New Roman"/>
          <w:i/>
          <w:sz w:val="24"/>
          <w:szCs w:val="24"/>
        </w:rPr>
        <w:t>Complejidad</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En un principio esta tarea, no requiere de ningún conocimiento teórico específico y se plantea sobre la simple curiosidad de un observador ordinario, con la intención de que a partir de la información recabada, se establezca la base del estudio ordenado de las características mecánicas y funcionales de estos sistemas. Preparándose así, la plataforma conceptual para abordar la siguiente tarea.</w:t>
      </w:r>
    </w:p>
    <w:p w:rsidR="006A7B30" w:rsidRPr="004B32D9" w:rsidRDefault="006A7B30" w:rsidP="004B32D9">
      <w:pPr>
        <w:spacing w:after="0" w:line="360" w:lineRule="auto"/>
        <w:jc w:val="both"/>
        <w:rPr>
          <w:rFonts w:ascii="Times New Roman" w:hAnsi="Times New Roman" w:cs="Times New Roman"/>
          <w:sz w:val="24"/>
          <w:szCs w:val="24"/>
        </w:rPr>
      </w:pPr>
    </w:p>
    <w:p w:rsidR="006A7B30" w:rsidRPr="004B32D9" w:rsidRDefault="006A7B30" w:rsidP="004B32D9">
      <w:pPr>
        <w:pStyle w:val="Prrafodelista"/>
        <w:numPr>
          <w:ilvl w:val="0"/>
          <w:numId w:val="1"/>
        </w:numPr>
        <w:spacing w:after="0" w:line="360" w:lineRule="auto"/>
        <w:ind w:left="0" w:firstLine="0"/>
        <w:jc w:val="both"/>
        <w:rPr>
          <w:rFonts w:ascii="Times New Roman" w:hAnsi="Times New Roman" w:cs="Times New Roman"/>
          <w:sz w:val="24"/>
          <w:szCs w:val="24"/>
        </w:rPr>
      </w:pPr>
      <w:r w:rsidRPr="004B32D9">
        <w:rPr>
          <w:rFonts w:ascii="Times New Roman" w:hAnsi="Times New Roman" w:cs="Times New Roman"/>
          <w:sz w:val="24"/>
          <w:szCs w:val="24"/>
        </w:rPr>
        <w:t>Tecnología: Se utiliza el internet para búsqueda de información y envió de las tareas por medio del correo electrónico, la biblioteca virtual de la USBI, se utiliza el proyector o cañón para las presentaciones.</w:t>
      </w:r>
    </w:p>
    <w:p w:rsidR="006A7B30" w:rsidRDefault="006A7B30" w:rsidP="004B32D9">
      <w:pPr>
        <w:spacing w:after="0" w:line="360" w:lineRule="auto"/>
        <w:jc w:val="both"/>
        <w:rPr>
          <w:rFonts w:ascii="Times New Roman" w:hAnsi="Times New Roman" w:cs="Times New Roman"/>
          <w:sz w:val="24"/>
          <w:szCs w:val="24"/>
        </w:rPr>
      </w:pPr>
    </w:p>
    <w:p w:rsidR="004B32D9" w:rsidRDefault="004B32D9" w:rsidP="004B32D9">
      <w:pPr>
        <w:spacing w:after="0" w:line="360" w:lineRule="auto"/>
        <w:jc w:val="both"/>
        <w:rPr>
          <w:rFonts w:ascii="Times New Roman" w:hAnsi="Times New Roman" w:cs="Times New Roman"/>
          <w:sz w:val="24"/>
          <w:szCs w:val="24"/>
        </w:rPr>
      </w:pPr>
    </w:p>
    <w:p w:rsidR="004B32D9" w:rsidRDefault="004B32D9" w:rsidP="004B32D9">
      <w:pPr>
        <w:spacing w:after="0" w:line="360" w:lineRule="auto"/>
        <w:jc w:val="both"/>
        <w:rPr>
          <w:rFonts w:ascii="Times New Roman" w:hAnsi="Times New Roman" w:cs="Times New Roman"/>
          <w:sz w:val="24"/>
          <w:szCs w:val="24"/>
        </w:rPr>
      </w:pPr>
    </w:p>
    <w:p w:rsidR="004B32D9" w:rsidRPr="004B32D9" w:rsidRDefault="004B32D9" w:rsidP="004B32D9">
      <w:pPr>
        <w:spacing w:after="0" w:line="360" w:lineRule="auto"/>
        <w:jc w:val="both"/>
        <w:rPr>
          <w:rFonts w:ascii="Times New Roman" w:hAnsi="Times New Roman" w:cs="Times New Roman"/>
          <w:sz w:val="24"/>
          <w:szCs w:val="24"/>
        </w:rPr>
      </w:pPr>
    </w:p>
    <w:p w:rsidR="006A7B30" w:rsidRPr="004B32D9" w:rsidRDefault="006A7B30" w:rsidP="004B32D9">
      <w:pPr>
        <w:pStyle w:val="Prrafodelista"/>
        <w:numPr>
          <w:ilvl w:val="0"/>
          <w:numId w:val="1"/>
        </w:numPr>
        <w:spacing w:after="0" w:line="360" w:lineRule="auto"/>
        <w:ind w:left="0" w:firstLine="0"/>
        <w:jc w:val="both"/>
        <w:rPr>
          <w:rFonts w:ascii="Times New Roman" w:hAnsi="Times New Roman" w:cs="Times New Roman"/>
          <w:i/>
          <w:sz w:val="24"/>
          <w:szCs w:val="24"/>
        </w:rPr>
      </w:pPr>
      <w:r w:rsidRPr="004B32D9">
        <w:rPr>
          <w:rFonts w:ascii="Times New Roman" w:hAnsi="Times New Roman" w:cs="Times New Roman"/>
          <w:i/>
          <w:sz w:val="24"/>
          <w:szCs w:val="24"/>
        </w:rPr>
        <w:lastRenderedPageBreak/>
        <w:t>Objetivo</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 xml:space="preserve">Que el alumno se introduzca en el ambiente real de las distintas obras que actualmente dan servicio a la población y cuestionen desde su punto de vista que aspectos han </w:t>
      </w:r>
      <w:proofErr w:type="spellStart"/>
      <w:r w:rsidRPr="004B32D9">
        <w:rPr>
          <w:rFonts w:ascii="Times New Roman" w:hAnsi="Times New Roman" w:cs="Times New Roman"/>
          <w:sz w:val="24"/>
          <w:szCs w:val="24"/>
        </w:rPr>
        <w:t>llamadosu</w:t>
      </w:r>
      <w:proofErr w:type="spellEnd"/>
      <w:r w:rsidRPr="004B32D9">
        <w:rPr>
          <w:rFonts w:ascii="Times New Roman" w:hAnsi="Times New Roman" w:cs="Times New Roman"/>
          <w:sz w:val="24"/>
          <w:szCs w:val="24"/>
        </w:rPr>
        <w:t xml:space="preserve"> atención considerando los tres ejes: teórico, heurístico y axiológico.</w:t>
      </w:r>
    </w:p>
    <w:p w:rsidR="006A7B30" w:rsidRPr="004B32D9" w:rsidRDefault="006A7B30" w:rsidP="004B32D9">
      <w:pPr>
        <w:spacing w:after="0" w:line="360" w:lineRule="auto"/>
        <w:jc w:val="both"/>
        <w:rPr>
          <w:rFonts w:ascii="Times New Roman" w:hAnsi="Times New Roman" w:cs="Times New Roman"/>
          <w:sz w:val="24"/>
          <w:szCs w:val="24"/>
        </w:rPr>
      </w:pPr>
    </w:p>
    <w:p w:rsidR="006A7B30" w:rsidRPr="004B32D9" w:rsidRDefault="006A7B30" w:rsidP="004B32D9">
      <w:pPr>
        <w:spacing w:after="0" w:line="360" w:lineRule="auto"/>
        <w:jc w:val="both"/>
        <w:rPr>
          <w:rFonts w:ascii="Times New Roman" w:hAnsi="Times New Roman" w:cs="Times New Roman"/>
          <w:sz w:val="24"/>
          <w:szCs w:val="24"/>
        </w:rPr>
      </w:pPr>
    </w:p>
    <w:p w:rsidR="006A7B30" w:rsidRPr="004B32D9" w:rsidRDefault="006A7B30" w:rsidP="004B32D9">
      <w:pPr>
        <w:spacing w:after="0" w:line="360" w:lineRule="auto"/>
        <w:jc w:val="both"/>
        <w:rPr>
          <w:rFonts w:ascii="Times New Roman" w:hAnsi="Times New Roman" w:cs="Times New Roman"/>
          <w:b/>
          <w:sz w:val="24"/>
          <w:szCs w:val="24"/>
        </w:rPr>
      </w:pPr>
      <w:r w:rsidRPr="004B32D9">
        <w:rPr>
          <w:rFonts w:ascii="Times New Roman" w:hAnsi="Times New Roman" w:cs="Times New Roman"/>
          <w:b/>
          <w:sz w:val="24"/>
          <w:szCs w:val="24"/>
        </w:rPr>
        <w:t>Nivel 2 (sub competencia 2).</w:t>
      </w:r>
    </w:p>
    <w:p w:rsidR="006A7B30" w:rsidRPr="004B32D9" w:rsidRDefault="006A7B30" w:rsidP="004B32D9">
      <w:pPr>
        <w:spacing w:after="0" w:line="360" w:lineRule="auto"/>
        <w:jc w:val="both"/>
        <w:rPr>
          <w:rFonts w:ascii="Times New Roman" w:hAnsi="Times New Roman" w:cs="Times New Roman"/>
          <w:sz w:val="24"/>
          <w:szCs w:val="24"/>
        </w:rPr>
      </w:pPr>
    </w:p>
    <w:p w:rsidR="006A7B30" w:rsidRPr="004B32D9" w:rsidRDefault="006A7B30" w:rsidP="004B32D9">
      <w:pPr>
        <w:pStyle w:val="Prrafodelista"/>
        <w:numPr>
          <w:ilvl w:val="0"/>
          <w:numId w:val="1"/>
        </w:numPr>
        <w:spacing w:after="0" w:line="360" w:lineRule="auto"/>
        <w:ind w:left="0" w:firstLine="0"/>
        <w:jc w:val="both"/>
        <w:rPr>
          <w:rFonts w:ascii="Times New Roman" w:hAnsi="Times New Roman" w:cs="Times New Roman"/>
          <w:i/>
          <w:sz w:val="24"/>
          <w:szCs w:val="24"/>
        </w:rPr>
      </w:pPr>
      <w:r w:rsidRPr="004B32D9">
        <w:rPr>
          <w:rFonts w:ascii="Times New Roman" w:hAnsi="Times New Roman" w:cs="Times New Roman"/>
          <w:i/>
          <w:sz w:val="24"/>
          <w:szCs w:val="24"/>
        </w:rPr>
        <w:t xml:space="preserve"> Tarea:</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 xml:space="preserve">Seleccionar un tipo de cimentación y aplicar el concepto de compatibilidad mediante el establecimiento de matrices donde se relacionen: esfuerzo, compresibilidad y dimensiones o espesores. Aplicando la solución elástica que involucra las rigideces de los dos elementos que conforman al sistema denominado cimentación, para determinar la distribución de esfuerzos de contacto. Y posteriormente calcular los asentamientos diferenciales, bajo la base de una pieza de cimentación,  considerando las propiedades compresibles del subsuelo. Graficar los elementos del vector de asentamientos y re calcular de manera sucesiva, las presiones de contacto en un proceso convergente hasta un nivel aceptable de aproximación. Los cálculos matriciales se pueden ejecutar en una calculadora de mano, y la representación gráfica del resultado, mediante el programa de </w:t>
      </w:r>
      <w:proofErr w:type="spellStart"/>
      <w:r w:rsidRPr="004B32D9">
        <w:rPr>
          <w:rFonts w:ascii="Times New Roman" w:hAnsi="Times New Roman" w:cs="Times New Roman"/>
          <w:sz w:val="24"/>
          <w:szCs w:val="24"/>
        </w:rPr>
        <w:t>Autocad</w:t>
      </w:r>
      <w:proofErr w:type="spellEnd"/>
      <w:r w:rsidRPr="004B32D9">
        <w:rPr>
          <w:rFonts w:ascii="Times New Roman" w:hAnsi="Times New Roman" w:cs="Times New Roman"/>
          <w:sz w:val="24"/>
          <w:szCs w:val="24"/>
        </w:rPr>
        <w:t>.</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 xml:space="preserve">El procedimiento es aplicable en todas las cimentaciones someras e intermedias. Que por su naturaleza trabajan por superficie.   </w:t>
      </w:r>
    </w:p>
    <w:p w:rsidR="006A7B30" w:rsidRPr="004B32D9" w:rsidRDefault="006A7B30" w:rsidP="004B32D9">
      <w:pPr>
        <w:spacing w:after="0" w:line="360" w:lineRule="auto"/>
        <w:jc w:val="both"/>
        <w:rPr>
          <w:rFonts w:ascii="Times New Roman" w:hAnsi="Times New Roman" w:cs="Times New Roman"/>
          <w:sz w:val="24"/>
          <w:szCs w:val="24"/>
        </w:rPr>
      </w:pPr>
    </w:p>
    <w:p w:rsidR="006A7B30" w:rsidRPr="004B32D9" w:rsidRDefault="006A7B30" w:rsidP="004B32D9">
      <w:pPr>
        <w:pStyle w:val="Prrafodelista"/>
        <w:numPr>
          <w:ilvl w:val="0"/>
          <w:numId w:val="1"/>
        </w:numPr>
        <w:spacing w:after="0" w:line="360" w:lineRule="auto"/>
        <w:jc w:val="both"/>
        <w:rPr>
          <w:rFonts w:ascii="Times New Roman" w:hAnsi="Times New Roman" w:cs="Times New Roman"/>
          <w:i/>
          <w:sz w:val="24"/>
          <w:szCs w:val="24"/>
        </w:rPr>
      </w:pPr>
      <w:r w:rsidRPr="004B32D9">
        <w:rPr>
          <w:rFonts w:ascii="Times New Roman" w:hAnsi="Times New Roman" w:cs="Times New Roman"/>
          <w:i/>
          <w:sz w:val="24"/>
          <w:szCs w:val="24"/>
        </w:rPr>
        <w:t>Objetivo</w:t>
      </w:r>
    </w:p>
    <w:p w:rsidR="006A7B30" w:rsidRPr="004B32D9" w:rsidRDefault="006A7B30" w:rsidP="004B32D9">
      <w:pPr>
        <w:tabs>
          <w:tab w:val="left" w:pos="7655"/>
          <w:tab w:val="left" w:pos="8222"/>
        </w:tabs>
        <w:spacing w:after="0" w:line="360" w:lineRule="auto"/>
        <w:ind w:right="-2"/>
        <w:jc w:val="both"/>
        <w:rPr>
          <w:rFonts w:ascii="Times New Roman" w:hAnsi="Times New Roman" w:cs="Times New Roman"/>
          <w:sz w:val="24"/>
          <w:szCs w:val="24"/>
        </w:rPr>
      </w:pPr>
      <w:r w:rsidRPr="004B32D9">
        <w:rPr>
          <w:rFonts w:ascii="Times New Roman" w:hAnsi="Times New Roman" w:cs="Times New Roman"/>
          <w:sz w:val="24"/>
          <w:szCs w:val="24"/>
        </w:rPr>
        <w:t>El alumno aplicará todos los conceptos correspondientes a: determinación de la porción de la masa del subsuelo involucrada en el sistema, compresibilidad del medio, relación de rigideces, que condiciones mecánicas impone la naturaleza de la pieza de cimentación y que condiciones impone el suelo de cimentación así como la forma de conciliar tales demandas.</w:t>
      </w:r>
    </w:p>
    <w:p w:rsidR="006A7B30" w:rsidRPr="004B32D9" w:rsidRDefault="006A7B30" w:rsidP="004B32D9">
      <w:pPr>
        <w:spacing w:after="0" w:line="360" w:lineRule="auto"/>
        <w:jc w:val="both"/>
        <w:rPr>
          <w:rFonts w:ascii="Times New Roman" w:hAnsi="Times New Roman" w:cs="Times New Roman"/>
          <w:sz w:val="24"/>
          <w:szCs w:val="24"/>
        </w:rPr>
      </w:pPr>
    </w:p>
    <w:p w:rsidR="006A7B30" w:rsidRPr="004B32D9" w:rsidRDefault="006A7B30" w:rsidP="004B32D9">
      <w:pPr>
        <w:spacing w:after="0" w:line="360" w:lineRule="auto"/>
        <w:jc w:val="both"/>
        <w:rPr>
          <w:rFonts w:ascii="Times New Roman" w:hAnsi="Times New Roman" w:cs="Times New Roman"/>
          <w:b/>
          <w:sz w:val="24"/>
          <w:szCs w:val="24"/>
        </w:rPr>
      </w:pPr>
      <w:r w:rsidRPr="004B32D9">
        <w:rPr>
          <w:rFonts w:ascii="Times New Roman" w:hAnsi="Times New Roman" w:cs="Times New Roman"/>
          <w:b/>
          <w:sz w:val="24"/>
          <w:szCs w:val="24"/>
        </w:rPr>
        <w:t>Nivel 3 (sub competencia 3).</w:t>
      </w:r>
    </w:p>
    <w:p w:rsidR="006A7B30" w:rsidRPr="004B32D9" w:rsidRDefault="006A7B30" w:rsidP="004B32D9">
      <w:pPr>
        <w:spacing w:after="0" w:line="360" w:lineRule="auto"/>
        <w:jc w:val="both"/>
        <w:rPr>
          <w:rFonts w:ascii="Times New Roman" w:hAnsi="Times New Roman" w:cs="Times New Roman"/>
          <w:b/>
          <w:sz w:val="24"/>
          <w:szCs w:val="24"/>
        </w:rPr>
      </w:pPr>
    </w:p>
    <w:p w:rsidR="006A7B30" w:rsidRPr="004B32D9" w:rsidRDefault="006A7B30" w:rsidP="004B32D9">
      <w:pPr>
        <w:pStyle w:val="Prrafodelista"/>
        <w:numPr>
          <w:ilvl w:val="0"/>
          <w:numId w:val="1"/>
        </w:numPr>
        <w:spacing w:after="0" w:line="360" w:lineRule="auto"/>
        <w:ind w:left="0" w:firstLine="0"/>
        <w:jc w:val="both"/>
        <w:rPr>
          <w:rFonts w:ascii="Times New Roman" w:hAnsi="Times New Roman" w:cs="Times New Roman"/>
          <w:sz w:val="24"/>
          <w:szCs w:val="24"/>
        </w:rPr>
      </w:pPr>
      <w:r w:rsidRPr="004B32D9">
        <w:rPr>
          <w:rFonts w:ascii="Times New Roman" w:hAnsi="Times New Roman" w:cs="Times New Roman"/>
          <w:sz w:val="24"/>
          <w:szCs w:val="24"/>
        </w:rPr>
        <w:t>Tarea:</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 xml:space="preserve">Integrar al conocimiento anterior adquirido en el nivel 2, con los criterios de análisis y cálculo de aspectos como capacidad de carga unitaria última, estabilidad de taludes y empuje de las masas del subsuelo, temas de esta </w:t>
      </w:r>
      <w:r w:rsidRPr="004B32D9">
        <w:rPr>
          <w:rFonts w:ascii="Times New Roman" w:hAnsi="Times New Roman" w:cs="Times New Roman"/>
          <w:sz w:val="24"/>
          <w:szCs w:val="24"/>
        </w:rPr>
        <w:lastRenderedPageBreak/>
        <w:t>tarea, donde el estudiante considerará el proyecto de una cimentación real, con variantes diversas como: cajones de sub-compensación, compensación y sobre-compensación; losas de cimentación con y sin contra-trabes; zapatas corridas con y sin trabes de liga; y zapatas aisladas. Para edificaciones conocidas en el Puerto de Veracruz.</w:t>
      </w:r>
    </w:p>
    <w:p w:rsidR="006A7B30" w:rsidRPr="004B32D9" w:rsidRDefault="006A7B30" w:rsidP="004B32D9">
      <w:pPr>
        <w:spacing w:after="0" w:line="360" w:lineRule="auto"/>
        <w:jc w:val="both"/>
        <w:rPr>
          <w:rFonts w:ascii="Times New Roman" w:hAnsi="Times New Roman" w:cs="Times New Roman"/>
          <w:sz w:val="24"/>
          <w:szCs w:val="24"/>
        </w:rPr>
      </w:pPr>
    </w:p>
    <w:p w:rsidR="006A7B30" w:rsidRPr="004B32D9" w:rsidRDefault="006A7B30" w:rsidP="004B32D9">
      <w:pPr>
        <w:pStyle w:val="Prrafodelista"/>
        <w:numPr>
          <w:ilvl w:val="0"/>
          <w:numId w:val="1"/>
        </w:numPr>
        <w:spacing w:after="0" w:line="360" w:lineRule="auto"/>
        <w:ind w:left="0" w:firstLine="0"/>
        <w:jc w:val="both"/>
        <w:rPr>
          <w:rFonts w:ascii="Times New Roman" w:hAnsi="Times New Roman" w:cs="Times New Roman"/>
          <w:sz w:val="24"/>
          <w:szCs w:val="24"/>
        </w:rPr>
      </w:pPr>
      <w:r w:rsidRPr="004B32D9">
        <w:rPr>
          <w:rFonts w:ascii="Times New Roman" w:hAnsi="Times New Roman" w:cs="Times New Roman"/>
          <w:sz w:val="24"/>
          <w:szCs w:val="24"/>
        </w:rPr>
        <w:t>Objetivo.</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Se integran todos los aspectos artificiales y naturales como factores de diseño, de manera que el estudiante pueda resolver cimentaciones superficiales y someras en un contexto real, con apego a la calidad, economía y respeto al medio ambiente y a los ciudadanos.</w:t>
      </w:r>
    </w:p>
    <w:p w:rsidR="006A7B30" w:rsidRPr="004B32D9" w:rsidRDefault="006A7B30" w:rsidP="004B32D9">
      <w:pPr>
        <w:spacing w:after="0" w:line="360" w:lineRule="auto"/>
        <w:jc w:val="both"/>
        <w:rPr>
          <w:rFonts w:ascii="Times New Roman" w:hAnsi="Times New Roman" w:cs="Times New Roman"/>
          <w:sz w:val="24"/>
          <w:szCs w:val="24"/>
        </w:rPr>
      </w:pPr>
    </w:p>
    <w:p w:rsidR="006A7B30" w:rsidRPr="004B32D9" w:rsidRDefault="006A7B30" w:rsidP="004B32D9">
      <w:pPr>
        <w:spacing w:after="0" w:line="360" w:lineRule="auto"/>
        <w:jc w:val="both"/>
        <w:rPr>
          <w:rFonts w:ascii="Times New Roman" w:hAnsi="Times New Roman" w:cs="Times New Roman"/>
          <w:b/>
          <w:sz w:val="24"/>
          <w:szCs w:val="24"/>
        </w:rPr>
      </w:pPr>
      <w:r w:rsidRPr="004B32D9">
        <w:rPr>
          <w:rFonts w:ascii="Times New Roman" w:hAnsi="Times New Roman" w:cs="Times New Roman"/>
          <w:b/>
          <w:sz w:val="24"/>
          <w:szCs w:val="24"/>
        </w:rPr>
        <w:t xml:space="preserve">Nivel 4 (sub competencia 4).  </w:t>
      </w:r>
    </w:p>
    <w:p w:rsidR="006A7B30" w:rsidRPr="004B32D9" w:rsidRDefault="006A7B30" w:rsidP="004B32D9">
      <w:pPr>
        <w:spacing w:after="0" w:line="360" w:lineRule="auto"/>
        <w:jc w:val="both"/>
        <w:rPr>
          <w:rFonts w:ascii="Times New Roman" w:hAnsi="Times New Roman" w:cs="Times New Roman"/>
          <w:sz w:val="24"/>
          <w:szCs w:val="24"/>
        </w:rPr>
      </w:pPr>
    </w:p>
    <w:p w:rsidR="006A7B30" w:rsidRPr="004B32D9" w:rsidRDefault="006A7B30" w:rsidP="004B32D9">
      <w:pPr>
        <w:pStyle w:val="Prrafodelista"/>
        <w:numPr>
          <w:ilvl w:val="0"/>
          <w:numId w:val="1"/>
        </w:numPr>
        <w:spacing w:after="0" w:line="360" w:lineRule="auto"/>
        <w:ind w:left="0" w:firstLine="0"/>
        <w:jc w:val="both"/>
        <w:rPr>
          <w:rFonts w:ascii="Times New Roman" w:hAnsi="Times New Roman" w:cs="Times New Roman"/>
          <w:sz w:val="24"/>
          <w:szCs w:val="24"/>
        </w:rPr>
      </w:pPr>
      <w:r w:rsidRPr="004B32D9">
        <w:rPr>
          <w:rFonts w:ascii="Times New Roman" w:hAnsi="Times New Roman" w:cs="Times New Roman"/>
          <w:sz w:val="24"/>
          <w:szCs w:val="24"/>
        </w:rPr>
        <w:t>Tarea:</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El estudiante aplicará los conceptos teóricos y ambientales en el diseño y construcción de cimentaciones de tipo profundo como son: los pilotes, las pilas y los cilindros. Aprenderá a hacer visualizaciones fenomenológicas en cada caso, determinando las formas de trabajo de acuerdo a las piezas de cimentación y el subsuelo involucrado. Determinará los procedimientos básicos constructivos y aprenderá a llevar procedimientos de control en la ejecución de estos sistemas.</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Esta será el pináculo del aprendizaje del estudiante, ya que el egresado podrá incorporarse a empresas de proyecto y construcción de cualquier tipo de obra, siempre con pleno conocimiento y versatilidad. Y sin abandonar en ningún momento la búsqueda de la calidad, la economía y el respeto por el medio ambiente y la población en general.</w:t>
      </w:r>
    </w:p>
    <w:p w:rsidR="006A7B30" w:rsidRPr="004B32D9" w:rsidRDefault="006A7B30" w:rsidP="004B32D9">
      <w:pPr>
        <w:spacing w:after="0" w:line="360" w:lineRule="auto"/>
        <w:jc w:val="both"/>
        <w:rPr>
          <w:rFonts w:ascii="Times New Roman" w:hAnsi="Times New Roman" w:cs="Times New Roman"/>
          <w:sz w:val="24"/>
          <w:szCs w:val="24"/>
        </w:rPr>
      </w:pPr>
    </w:p>
    <w:p w:rsidR="006A7B30" w:rsidRPr="004B32D9" w:rsidRDefault="006A7B30" w:rsidP="004B32D9">
      <w:pPr>
        <w:pStyle w:val="Prrafodelista"/>
        <w:numPr>
          <w:ilvl w:val="0"/>
          <w:numId w:val="1"/>
        </w:numPr>
        <w:spacing w:after="0" w:line="360" w:lineRule="auto"/>
        <w:ind w:left="0" w:firstLine="0"/>
        <w:jc w:val="both"/>
        <w:rPr>
          <w:rFonts w:ascii="Times New Roman" w:hAnsi="Times New Roman" w:cs="Times New Roman"/>
          <w:sz w:val="24"/>
          <w:szCs w:val="24"/>
        </w:rPr>
      </w:pPr>
      <w:r w:rsidRPr="004B32D9">
        <w:rPr>
          <w:rFonts w:ascii="Times New Roman" w:hAnsi="Times New Roman" w:cs="Times New Roman"/>
          <w:sz w:val="24"/>
          <w:szCs w:val="24"/>
        </w:rPr>
        <w:t>Objetivo.</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 xml:space="preserve">Se integran todos los aspectos artificiales y naturales como factores de diseño, de manera que el estudiante pueda resolver cimentaciones </w:t>
      </w:r>
      <w:proofErr w:type="spellStart"/>
      <w:r w:rsidRPr="004B32D9">
        <w:rPr>
          <w:rFonts w:ascii="Times New Roman" w:hAnsi="Times New Roman" w:cs="Times New Roman"/>
          <w:sz w:val="24"/>
          <w:szCs w:val="24"/>
        </w:rPr>
        <w:t>semi</w:t>
      </w:r>
      <w:proofErr w:type="spellEnd"/>
      <w:r w:rsidRPr="004B32D9">
        <w:rPr>
          <w:rFonts w:ascii="Times New Roman" w:hAnsi="Times New Roman" w:cs="Times New Roman"/>
          <w:sz w:val="24"/>
          <w:szCs w:val="24"/>
        </w:rPr>
        <w:t>-profundas y profundas en un contexto real, con apego a la calidad, economía y respeto al medio ambiente y a los ciudadanos.</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Esta sub competencia requirió de un reporte técnico final con características reales y dirigidas a un cliente hipotético.</w:t>
      </w:r>
    </w:p>
    <w:p w:rsidR="006A7B30" w:rsidRDefault="006A7B30" w:rsidP="004B32D9">
      <w:pPr>
        <w:spacing w:after="0" w:line="360" w:lineRule="auto"/>
        <w:jc w:val="both"/>
        <w:rPr>
          <w:rFonts w:ascii="Times New Roman" w:hAnsi="Times New Roman" w:cs="Times New Roman"/>
          <w:sz w:val="24"/>
          <w:szCs w:val="24"/>
        </w:rPr>
      </w:pPr>
    </w:p>
    <w:p w:rsidR="004B32D9" w:rsidRPr="004B32D9" w:rsidRDefault="004B32D9" w:rsidP="004B32D9">
      <w:pPr>
        <w:spacing w:after="0" w:line="360" w:lineRule="auto"/>
        <w:jc w:val="both"/>
        <w:rPr>
          <w:rFonts w:ascii="Times New Roman" w:hAnsi="Times New Roman" w:cs="Times New Roman"/>
          <w:sz w:val="24"/>
          <w:szCs w:val="24"/>
        </w:rPr>
      </w:pPr>
    </w:p>
    <w:p w:rsidR="006A7B30" w:rsidRPr="004B32D9" w:rsidRDefault="006A7B30" w:rsidP="004B32D9">
      <w:pPr>
        <w:spacing w:after="0" w:line="360" w:lineRule="auto"/>
        <w:jc w:val="both"/>
        <w:rPr>
          <w:rFonts w:ascii="Times New Roman" w:hAnsi="Times New Roman" w:cs="Times New Roman"/>
          <w:sz w:val="24"/>
          <w:szCs w:val="24"/>
        </w:rPr>
      </w:pPr>
    </w:p>
    <w:p w:rsidR="006A7B30" w:rsidRPr="004B32D9" w:rsidRDefault="006A7B30" w:rsidP="004B32D9">
      <w:pPr>
        <w:spacing w:after="0" w:line="360" w:lineRule="auto"/>
        <w:jc w:val="both"/>
        <w:rPr>
          <w:rFonts w:ascii="Times New Roman" w:hAnsi="Times New Roman" w:cs="Times New Roman"/>
          <w:b/>
          <w:sz w:val="24"/>
          <w:szCs w:val="24"/>
        </w:rPr>
      </w:pPr>
      <w:r w:rsidRPr="004B32D9">
        <w:rPr>
          <w:rFonts w:ascii="Times New Roman" w:hAnsi="Times New Roman" w:cs="Times New Roman"/>
          <w:b/>
          <w:sz w:val="24"/>
          <w:szCs w:val="24"/>
        </w:rPr>
        <w:lastRenderedPageBreak/>
        <w:t>Métodos empleados para el seguimiento y observación del cambio.</w:t>
      </w:r>
    </w:p>
    <w:p w:rsidR="006A7B30" w:rsidRPr="004B32D9" w:rsidRDefault="006A7B30" w:rsidP="004B32D9">
      <w:pPr>
        <w:spacing w:after="0" w:line="360" w:lineRule="auto"/>
        <w:jc w:val="both"/>
        <w:rPr>
          <w:rFonts w:ascii="Times New Roman" w:hAnsi="Times New Roman" w:cs="Times New Roman"/>
          <w:b/>
          <w:sz w:val="24"/>
          <w:szCs w:val="24"/>
        </w:rPr>
      </w:pP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En todo momento el cumplimiento de las fechas de encargo de tareas por parte del Docente, y de entrega de soluciones por parte de los Estudiante, fue estricto.</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Hubo consultas de grupo y personalizadas.</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Los tiempos de consulta estaban abiertos vía internet.</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El ausentismo se redujo respecto a otros cursos impartidos de la misma experiencia educativa. En un 6 %.</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Los errores se generalizaron en su planteamiento y se resolvieron en el aula.</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Se utilizó la observación participante, practicando una relación constante con los estudiantes y tomando nota de sus inquietudes y dudas escolares y de vida, de acuerdo a una bitácora que se tenía que escribir fuera de la atención de los alumnos, con el fin de no incomodarlos.</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También se llevó a cabo un estudio de caso aprovechando la confianza que desarrolló un alumno con el profesor. Para ello se visitó su casa y se platicó extensamente con el sostén económico de su hogar que es su madre, enfermera jubilada del  IMSS, persona con gran confianza en el futuro de sus dos hijos. Fue notable la coincidencia de las expectativas de la madre y su hijo, alumno de la facultad de Ingeniería, respecto a su futuro Profesional.</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El Estudiante en cuestión tuvo un comportamiento similar a la mayoría de los compañeros, se mantuvo en contacto con el Facilitador, preguntó frecuentemente sobre los temas,  planteamientos y soluciones; pero al parecer, su convicción de metas como se observó en el Estudio de caso, le permitieron destacar hasta alcanzar la máxima calificación junto a dos compañeros más, los cuales no se investigaron a profundidad. Pero se infiere que también contaban con la motivación suficiente, tal vez de otra índole. Los tres representaron el 7.69 % del grupo.</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Los otros estudiantes mantuvieron un alto grado de atención a las indicaciones del Docente y respondieron satisfactoriamente a los planteamientos de cada problema técnico visto en Clase. Y un 48.72 % del grupo alcanzó la segunda más alta calificación. El resto de los alumnos obtuvo calificación final satisfactoria; y solo un estudiante fue calificado como suficiente. Estos resultados se presentan en la siguiente gráfica.</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Se llevó el conocimiento del proceso mediante dos registros de actividades. Uno, correspondiente al rendimiento escolar de manera individual, en tareas, ejercicios y lecturas relativas a cada sub competencia. Y el otro, en relación a los trabajos grupales para lo cual se dividió el grupo en 10 brigadas de trabajo. De esta manera, el primer control consistió de 39 registros, correspondientes a los 39 alumnos. Mientas que, el segundo control comprendió 10 registros correspondientes a las 10 brigadas de trabajo.</w:t>
      </w:r>
    </w:p>
    <w:p w:rsidR="006A7B30" w:rsidRPr="004B32D9" w:rsidRDefault="006A7B30" w:rsidP="004B32D9">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lastRenderedPageBreak/>
        <w:t>A cada estudiante se le integró un expediente con los dos controles antes mencionados. Y en todo momento se les evaluó de manera específica para al término de la experiencia educativa, desembocar en una calificación final, por alumno.</w:t>
      </w:r>
    </w:p>
    <w:p w:rsidR="006A7B30" w:rsidRPr="004B32D9" w:rsidRDefault="006A7B30" w:rsidP="004B32D9">
      <w:pPr>
        <w:spacing w:after="0" w:line="360" w:lineRule="auto"/>
        <w:jc w:val="both"/>
        <w:rPr>
          <w:rFonts w:ascii="Times New Roman" w:hAnsi="Times New Roman" w:cs="Times New Roman"/>
          <w:b/>
          <w:sz w:val="24"/>
          <w:szCs w:val="24"/>
        </w:rPr>
      </w:pPr>
      <w:r w:rsidRPr="004B32D9">
        <w:rPr>
          <w:rFonts w:ascii="Times New Roman" w:hAnsi="Times New Roman" w:cs="Times New Roman"/>
          <w:b/>
          <w:sz w:val="24"/>
          <w:szCs w:val="24"/>
        </w:rPr>
        <w:t>Resultados.</w:t>
      </w:r>
    </w:p>
    <w:p w:rsidR="006A7B30" w:rsidRPr="006A7B30" w:rsidRDefault="006A7B30" w:rsidP="004B32D9">
      <w:pPr>
        <w:spacing w:after="0" w:line="360" w:lineRule="auto"/>
        <w:jc w:val="both"/>
        <w:rPr>
          <w:rFonts w:cstheme="minorHAnsi"/>
          <w:sz w:val="24"/>
          <w:szCs w:val="24"/>
          <w:u w:val="single"/>
        </w:rPr>
      </w:pPr>
      <w:r w:rsidRPr="004B32D9">
        <w:rPr>
          <w:rFonts w:ascii="Times New Roman" w:hAnsi="Times New Roman" w:cs="Times New Roman"/>
          <w:sz w:val="24"/>
          <w:szCs w:val="24"/>
        </w:rPr>
        <w:t>El comportamiento de los resultados cuantitativos para cada sub competencia, se  determina   mediante pares ordenados: calificación - frecuencia.</w:t>
      </w:r>
    </w:p>
    <w:p w:rsidR="006A7B30" w:rsidRPr="006A7B30" w:rsidRDefault="006A7B30" w:rsidP="006A7B30">
      <w:pPr>
        <w:spacing w:after="0" w:line="360" w:lineRule="auto"/>
        <w:jc w:val="both"/>
        <w:rPr>
          <w:rFonts w:cstheme="minorHAnsi"/>
          <w:sz w:val="24"/>
          <w:szCs w:val="24"/>
        </w:rPr>
      </w:pPr>
      <w:r w:rsidRPr="006A7B30">
        <w:rPr>
          <w:rFonts w:cstheme="minorHAnsi"/>
          <w:noProof/>
          <w:sz w:val="24"/>
          <w:szCs w:val="24"/>
          <w:lang w:eastAsia="es-MX"/>
        </w:rPr>
        <w:drawing>
          <wp:inline distT="0" distB="0" distL="0" distR="0">
            <wp:extent cx="4572000" cy="2743200"/>
            <wp:effectExtent l="19050" t="0" r="19050" b="0"/>
            <wp:docPr id="1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A7B30" w:rsidRPr="006A7B30" w:rsidRDefault="006A7B30" w:rsidP="006A7B30">
      <w:pPr>
        <w:spacing w:after="0" w:line="360" w:lineRule="auto"/>
        <w:jc w:val="both"/>
        <w:rPr>
          <w:rFonts w:cstheme="minorHAnsi"/>
          <w:sz w:val="24"/>
          <w:szCs w:val="24"/>
        </w:rPr>
      </w:pPr>
    </w:p>
    <w:p w:rsidR="006A7B30" w:rsidRPr="006A7B30" w:rsidRDefault="006A7B30" w:rsidP="006A7B30">
      <w:pPr>
        <w:spacing w:after="0" w:line="360" w:lineRule="auto"/>
        <w:jc w:val="both"/>
        <w:rPr>
          <w:rFonts w:cstheme="minorHAnsi"/>
          <w:sz w:val="24"/>
          <w:szCs w:val="24"/>
        </w:rPr>
      </w:pPr>
      <w:r w:rsidRPr="006A7B30">
        <w:rPr>
          <w:rFonts w:cstheme="minorHAnsi"/>
          <w:noProof/>
          <w:sz w:val="24"/>
          <w:szCs w:val="24"/>
          <w:lang w:eastAsia="es-MX"/>
        </w:rPr>
        <w:drawing>
          <wp:inline distT="0" distB="0" distL="0" distR="0">
            <wp:extent cx="4572000" cy="2743200"/>
            <wp:effectExtent l="19050" t="0" r="19050" b="0"/>
            <wp:docPr id="1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7B30" w:rsidRPr="006A7B30" w:rsidRDefault="006A7B30" w:rsidP="006A7B30">
      <w:pPr>
        <w:spacing w:after="0" w:line="360" w:lineRule="auto"/>
        <w:jc w:val="both"/>
        <w:rPr>
          <w:rFonts w:cstheme="minorHAnsi"/>
          <w:sz w:val="24"/>
          <w:szCs w:val="24"/>
        </w:rPr>
      </w:pPr>
    </w:p>
    <w:p w:rsidR="006A7B30" w:rsidRPr="006A7B30" w:rsidRDefault="006A7B30" w:rsidP="006A7B30">
      <w:pPr>
        <w:spacing w:after="0" w:line="360" w:lineRule="auto"/>
        <w:jc w:val="both"/>
        <w:rPr>
          <w:rFonts w:cstheme="minorHAnsi"/>
          <w:sz w:val="24"/>
          <w:szCs w:val="24"/>
        </w:rPr>
      </w:pPr>
    </w:p>
    <w:p w:rsidR="006A7B30" w:rsidRPr="006A7B30" w:rsidRDefault="006A7B30" w:rsidP="006A7B30">
      <w:pPr>
        <w:spacing w:after="0" w:line="360" w:lineRule="auto"/>
        <w:jc w:val="both"/>
        <w:rPr>
          <w:rFonts w:cstheme="minorHAnsi"/>
          <w:sz w:val="24"/>
          <w:szCs w:val="24"/>
        </w:rPr>
      </w:pPr>
      <w:r w:rsidRPr="006A7B30">
        <w:rPr>
          <w:rFonts w:cstheme="minorHAnsi"/>
          <w:noProof/>
          <w:sz w:val="24"/>
          <w:szCs w:val="24"/>
          <w:lang w:eastAsia="es-MX"/>
        </w:rPr>
        <w:lastRenderedPageBreak/>
        <w:drawing>
          <wp:inline distT="0" distB="0" distL="0" distR="0">
            <wp:extent cx="4572000" cy="2743200"/>
            <wp:effectExtent l="19050" t="0" r="19050" b="0"/>
            <wp:docPr id="1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7B30" w:rsidRPr="006A7B30" w:rsidRDefault="006A7B30" w:rsidP="006A7B30">
      <w:pPr>
        <w:spacing w:after="0" w:line="360" w:lineRule="auto"/>
        <w:jc w:val="both"/>
        <w:rPr>
          <w:rFonts w:cstheme="minorHAnsi"/>
          <w:sz w:val="24"/>
          <w:szCs w:val="24"/>
        </w:rPr>
      </w:pPr>
    </w:p>
    <w:p w:rsidR="006A7B30" w:rsidRPr="006A7B30" w:rsidRDefault="006A7B30" w:rsidP="006A7B30">
      <w:pPr>
        <w:spacing w:after="0" w:line="360" w:lineRule="auto"/>
        <w:jc w:val="both"/>
        <w:rPr>
          <w:rFonts w:cstheme="minorHAnsi"/>
          <w:sz w:val="24"/>
          <w:szCs w:val="24"/>
        </w:rPr>
      </w:pPr>
      <w:r w:rsidRPr="006A7B30">
        <w:rPr>
          <w:rFonts w:cstheme="minorHAnsi"/>
          <w:noProof/>
          <w:sz w:val="24"/>
          <w:szCs w:val="24"/>
          <w:lang w:eastAsia="es-MX"/>
        </w:rPr>
        <w:drawing>
          <wp:inline distT="0" distB="0" distL="0" distR="0">
            <wp:extent cx="4572000" cy="2743200"/>
            <wp:effectExtent l="19050" t="0" r="19050" b="0"/>
            <wp:docPr id="1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7B30" w:rsidRPr="006A7B30" w:rsidRDefault="006A7B30" w:rsidP="006A7B30">
      <w:pPr>
        <w:spacing w:after="0" w:line="360" w:lineRule="auto"/>
        <w:jc w:val="both"/>
        <w:rPr>
          <w:rFonts w:cstheme="minorHAnsi"/>
          <w:sz w:val="24"/>
          <w:szCs w:val="24"/>
        </w:rPr>
      </w:pPr>
      <w:r w:rsidRPr="006A7B30">
        <w:rPr>
          <w:rFonts w:cstheme="minorHAnsi"/>
          <w:sz w:val="24"/>
          <w:szCs w:val="24"/>
        </w:rPr>
        <w:t xml:space="preserve">                                                                 </w:t>
      </w:r>
    </w:p>
    <w:p w:rsidR="006A7B30" w:rsidRPr="006A7B30" w:rsidRDefault="006A7B30" w:rsidP="006A7B30">
      <w:pPr>
        <w:spacing w:after="0" w:line="360" w:lineRule="auto"/>
        <w:jc w:val="both"/>
        <w:rPr>
          <w:rFonts w:cstheme="minorHAnsi"/>
          <w:sz w:val="24"/>
          <w:szCs w:val="24"/>
        </w:rPr>
      </w:pPr>
    </w:p>
    <w:p w:rsidR="006A7B30" w:rsidRPr="006A7B30" w:rsidRDefault="006A7B30" w:rsidP="006A7B30">
      <w:pPr>
        <w:spacing w:after="0" w:line="360" w:lineRule="auto"/>
        <w:jc w:val="both"/>
        <w:rPr>
          <w:rFonts w:cstheme="minorHAnsi"/>
          <w:sz w:val="24"/>
          <w:szCs w:val="24"/>
        </w:rPr>
      </w:pPr>
      <w:r w:rsidRPr="006A7B30">
        <w:rPr>
          <w:rFonts w:cstheme="minorHAnsi"/>
          <w:noProof/>
          <w:sz w:val="24"/>
          <w:szCs w:val="24"/>
          <w:lang w:eastAsia="es-MX"/>
        </w:rPr>
        <w:lastRenderedPageBreak/>
        <w:drawing>
          <wp:inline distT="0" distB="0" distL="0" distR="0">
            <wp:extent cx="4572000" cy="2743200"/>
            <wp:effectExtent l="19050" t="0" r="19050" b="0"/>
            <wp:docPr id="1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7B30" w:rsidRPr="006A7B30" w:rsidRDefault="006A7B30" w:rsidP="006A7B30">
      <w:pPr>
        <w:spacing w:after="0" w:line="360" w:lineRule="auto"/>
        <w:jc w:val="both"/>
        <w:rPr>
          <w:rFonts w:cstheme="minorHAnsi"/>
          <w:sz w:val="24"/>
          <w:szCs w:val="24"/>
        </w:rPr>
      </w:pP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Con lo que se calculó como promedio ponderado general de la calificación final, resultó:</w:t>
      </w:r>
    </w:p>
    <w:p w:rsidR="006A7B30" w:rsidRPr="004B32D9" w:rsidRDefault="006A7B30" w:rsidP="006A7B30">
      <w:pPr>
        <w:pStyle w:val="Prrafodelista"/>
        <w:numPr>
          <w:ilvl w:val="0"/>
          <w:numId w:val="2"/>
        </w:num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Alumnos con calificación final de 7,  el 2.56 %</w:t>
      </w:r>
    </w:p>
    <w:p w:rsidR="006A7B30" w:rsidRPr="004B32D9" w:rsidRDefault="006A7B30" w:rsidP="006A7B30">
      <w:pPr>
        <w:pStyle w:val="Prrafodelista"/>
        <w:numPr>
          <w:ilvl w:val="0"/>
          <w:numId w:val="2"/>
        </w:num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Alumnos con calificación final de 8, el 41.03 %</w:t>
      </w:r>
    </w:p>
    <w:p w:rsidR="006A7B30" w:rsidRPr="004B32D9" w:rsidRDefault="006A7B30" w:rsidP="006A7B30">
      <w:pPr>
        <w:pStyle w:val="Prrafodelista"/>
        <w:numPr>
          <w:ilvl w:val="0"/>
          <w:numId w:val="2"/>
        </w:num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Alumnos con calificación final de 9, el 48.72 %</w:t>
      </w:r>
    </w:p>
    <w:p w:rsidR="006A7B30" w:rsidRPr="006A7B30" w:rsidRDefault="006A7B30" w:rsidP="006A7B30">
      <w:pPr>
        <w:pStyle w:val="Prrafodelista"/>
        <w:numPr>
          <w:ilvl w:val="0"/>
          <w:numId w:val="2"/>
        </w:numPr>
        <w:spacing w:after="0" w:line="360" w:lineRule="auto"/>
        <w:jc w:val="both"/>
        <w:rPr>
          <w:rFonts w:cstheme="minorHAnsi"/>
          <w:sz w:val="24"/>
          <w:szCs w:val="24"/>
        </w:rPr>
      </w:pPr>
      <w:r w:rsidRPr="004B32D9">
        <w:rPr>
          <w:rFonts w:ascii="Times New Roman" w:hAnsi="Times New Roman" w:cs="Times New Roman"/>
          <w:sz w:val="24"/>
          <w:szCs w:val="24"/>
        </w:rPr>
        <w:t>Alumnos con calificación final de 10, el 7.60 %</w:t>
      </w:r>
    </w:p>
    <w:p w:rsidR="006A7B30" w:rsidRPr="006A7B30" w:rsidRDefault="006A7B30" w:rsidP="006A7B30">
      <w:pPr>
        <w:spacing w:after="0" w:line="360" w:lineRule="auto"/>
        <w:jc w:val="both"/>
        <w:rPr>
          <w:rFonts w:cstheme="minorHAnsi"/>
          <w:b/>
          <w:sz w:val="24"/>
          <w:szCs w:val="24"/>
        </w:rPr>
      </w:pPr>
    </w:p>
    <w:p w:rsidR="006A7B30" w:rsidRPr="006A7B30" w:rsidRDefault="006A7B30" w:rsidP="006A7B30">
      <w:pPr>
        <w:spacing w:after="0" w:line="360" w:lineRule="auto"/>
        <w:jc w:val="both"/>
        <w:rPr>
          <w:rFonts w:cstheme="minorHAnsi"/>
          <w:b/>
          <w:sz w:val="24"/>
          <w:szCs w:val="24"/>
        </w:rPr>
      </w:pPr>
    </w:p>
    <w:p w:rsidR="006A7B30" w:rsidRPr="006A7B30" w:rsidRDefault="006A7B30" w:rsidP="006A7B30">
      <w:pPr>
        <w:spacing w:after="0" w:line="360" w:lineRule="auto"/>
        <w:jc w:val="both"/>
        <w:rPr>
          <w:rFonts w:cstheme="minorHAnsi"/>
          <w:sz w:val="24"/>
          <w:szCs w:val="24"/>
        </w:rPr>
      </w:pPr>
      <w:r w:rsidRPr="006A7B30">
        <w:rPr>
          <w:rFonts w:cstheme="minorHAnsi"/>
          <w:noProof/>
          <w:sz w:val="24"/>
          <w:szCs w:val="24"/>
          <w:lang w:eastAsia="es-MX"/>
        </w:rPr>
        <w:lastRenderedPageBreak/>
        <w:drawing>
          <wp:inline distT="0" distB="0" distL="0" distR="0">
            <wp:extent cx="5400040" cy="3526706"/>
            <wp:effectExtent l="19050" t="0" r="1016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7B30" w:rsidRPr="006A7B30" w:rsidRDefault="006A7B30" w:rsidP="006A7B30">
      <w:pPr>
        <w:spacing w:after="0" w:line="360" w:lineRule="auto"/>
        <w:jc w:val="both"/>
        <w:rPr>
          <w:rFonts w:cstheme="minorHAnsi"/>
          <w:sz w:val="24"/>
          <w:szCs w:val="24"/>
        </w:rPr>
      </w:pP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Los exámenes parciales fueron sustituidos con trabajos de casa, personalizadas en los casos de atraso en la entrega y satisfacción de las tareas.</w:t>
      </w: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El promedio general del grupo fue de 9.00, calificación que difícilmente se alcanzaba antes de esta intervención educativa.</w:t>
      </w: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Un resultado de gran importancia fue la integración de los esfuerzos individuales en un esfuerzo compartido.</w:t>
      </w: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 xml:space="preserve">Las gráficas correspondientes a los resultados de eficiencia alcanzados por los estudiantes, </w:t>
      </w:r>
    </w:p>
    <w:p w:rsidR="006A7B30" w:rsidRPr="004B32D9" w:rsidRDefault="006A7B30" w:rsidP="006A7B30">
      <w:pPr>
        <w:spacing w:after="0" w:line="360" w:lineRule="auto"/>
        <w:jc w:val="both"/>
        <w:rPr>
          <w:rFonts w:ascii="Times New Roman" w:hAnsi="Times New Roman" w:cs="Times New Roman"/>
          <w:sz w:val="24"/>
          <w:szCs w:val="24"/>
        </w:rPr>
      </w:pPr>
    </w:p>
    <w:p w:rsidR="006A7B30" w:rsidRPr="004B32D9" w:rsidRDefault="006A7B30" w:rsidP="006A7B30">
      <w:pPr>
        <w:spacing w:after="0" w:line="360" w:lineRule="auto"/>
        <w:jc w:val="both"/>
        <w:rPr>
          <w:rFonts w:ascii="Times New Roman" w:hAnsi="Times New Roman" w:cs="Times New Roman"/>
          <w:b/>
          <w:sz w:val="24"/>
          <w:szCs w:val="24"/>
        </w:rPr>
      </w:pPr>
      <w:r w:rsidRPr="004B32D9">
        <w:rPr>
          <w:rFonts w:ascii="Times New Roman" w:hAnsi="Times New Roman" w:cs="Times New Roman"/>
          <w:b/>
          <w:sz w:val="24"/>
          <w:szCs w:val="24"/>
        </w:rPr>
        <w:t>Discusión y análisis.</w:t>
      </w:r>
    </w:p>
    <w:p w:rsidR="006A7B30" w:rsidRPr="004B32D9" w:rsidRDefault="006A7B30" w:rsidP="006A7B30">
      <w:pPr>
        <w:spacing w:after="0" w:line="360" w:lineRule="auto"/>
        <w:jc w:val="both"/>
        <w:rPr>
          <w:rFonts w:ascii="Times New Roman" w:hAnsi="Times New Roman" w:cs="Times New Roman"/>
          <w:b/>
          <w:sz w:val="24"/>
          <w:szCs w:val="24"/>
        </w:rPr>
      </w:pP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Quedó establecido, por la evidencia en el desempeño de los estudiantes, el gran interés por la acción investigadora en la solución de los distintos problemas reales.</w:t>
      </w: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Fue notable la potencialización en el desempeño de los estudiantes debido al uso de las técnicas de información y comunicación.</w:t>
      </w: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 xml:space="preserve">Sin embargo, parece que el número de alumnos en el grupo escolar, fue excesivo ya que hubo un grupo de </w:t>
      </w:r>
      <w:proofErr w:type="gramStart"/>
      <w:r w:rsidRPr="004B32D9">
        <w:rPr>
          <w:rFonts w:ascii="Times New Roman" w:hAnsi="Times New Roman" w:cs="Times New Roman"/>
          <w:sz w:val="24"/>
          <w:szCs w:val="24"/>
        </w:rPr>
        <w:t>alumnos(</w:t>
      </w:r>
      <w:proofErr w:type="gramEnd"/>
      <w:r w:rsidRPr="004B32D9">
        <w:rPr>
          <w:rFonts w:ascii="Times New Roman" w:hAnsi="Times New Roman" w:cs="Times New Roman"/>
          <w:sz w:val="24"/>
          <w:szCs w:val="24"/>
        </w:rPr>
        <w:t xml:space="preserve"> 6% ) apáticos encubiertos por la participación de la mayoría.</w:t>
      </w: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Otro factor resistente al proceso fue la insuficiencia de recursos para trasladar al grupo a los sitios donde se realizaban las construcciones con procesos interesantes y  tecnología de actualidad.</w:t>
      </w: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lastRenderedPageBreak/>
        <w:t>Sobre la permeabilidad del grupo, la estrategia que con mayor facilidad aprendieron los Estudiantes, fue el trabajo colectivo para resolver un problema o alcanzar un objetivo común.</w:t>
      </w: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La motivación general del grupo se basó en las manifestaciones compartidas sobre la práctica profesional. Se discutieron situaciones de desempeño social y vinculación. En estas reuniones se manifestó la experiencia del Docente respecto a técnicas actuales y los aspectos prácticos de la profesión con veracidad y detalle.</w:t>
      </w: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Se manifestó entre los estudiantes un intercambio sano de conocimientos a nivel general en un proceso de integración entre experiencias educativas y actitudes de vida.</w:t>
      </w: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En ningún momento la experiencia particular del docente se impuso en los debates escolares y solo se utilizó para encausar los temas.</w:t>
      </w: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Con el modelo aplicado, es notorio el mejoramiento en el aprovechamiento de los estudiantes con el pleno ejercicio de los ejes: teórico, heurístico y axiológico.</w:t>
      </w: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Prueba de lo anterior es el grado del conocimiento teórico desarrollado en las distintas soluciones encontradas por los estudiantes; La originalidad de los planteamientos y la solidaridad demostrada en el desarrollo de los trabajos.</w:t>
      </w: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La solidaridad en los grupos de trabajo produjo un impulso hacia la colaboración de los estudiantes apáticos en la búsqueda de las distintas problemáticas planteadas en cada tarea y encargo escolar.</w:t>
      </w: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La apropiación del conocimiento de acuerdo a las competencias de la experiencia educativa que lograron los alumnos, desde el punto de vista colectivo, se reflejó en la evaluación final, cuyo promedio generalizado fue de 8.62.</w:t>
      </w:r>
    </w:p>
    <w:p w:rsidR="006A7B30" w:rsidRPr="004B32D9"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 xml:space="preserve">Aquí conviene subrayar que se registró de manera adicional el registro de calificaciones de alumnas y alumnos y fue ampliamente satisfactorio encontrar que en esta experiencia no hubo diferencia significativa en la calificación general promedio y que ésta, fue de 0.03 (tres centésimos). Confirmándose una vez más el mito de la diferencia de género en los programas de Ingeniería civil.  </w:t>
      </w:r>
    </w:p>
    <w:p w:rsidR="006A7B30"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Se aplicó el criterio a 39 estudiantes, de los cuales el 48.72 %, obtuvo una calificación final de nueve (9). El 41.02 %, de ocho (ocho). El 2.56 %, de siete (7). Y el 7.69 %, de 10 (diez). No hubo necesidad de exámenes extraordinarios.</w:t>
      </w:r>
    </w:p>
    <w:p w:rsidR="004B32D9" w:rsidRDefault="004B32D9" w:rsidP="006A7B30">
      <w:pPr>
        <w:spacing w:after="0" w:line="360" w:lineRule="auto"/>
        <w:jc w:val="both"/>
        <w:rPr>
          <w:rFonts w:ascii="Times New Roman" w:hAnsi="Times New Roman" w:cs="Times New Roman"/>
          <w:sz w:val="24"/>
          <w:szCs w:val="24"/>
        </w:rPr>
      </w:pPr>
    </w:p>
    <w:p w:rsidR="004B32D9" w:rsidRDefault="004B32D9" w:rsidP="006A7B30">
      <w:pPr>
        <w:spacing w:after="0" w:line="360" w:lineRule="auto"/>
        <w:jc w:val="both"/>
        <w:rPr>
          <w:rFonts w:ascii="Times New Roman" w:hAnsi="Times New Roman" w:cs="Times New Roman"/>
          <w:sz w:val="24"/>
          <w:szCs w:val="24"/>
        </w:rPr>
      </w:pPr>
    </w:p>
    <w:p w:rsidR="004B32D9" w:rsidRDefault="004B32D9" w:rsidP="006A7B30">
      <w:pPr>
        <w:spacing w:after="0" w:line="360" w:lineRule="auto"/>
        <w:jc w:val="both"/>
        <w:rPr>
          <w:rFonts w:ascii="Times New Roman" w:hAnsi="Times New Roman" w:cs="Times New Roman"/>
          <w:sz w:val="24"/>
          <w:szCs w:val="24"/>
        </w:rPr>
      </w:pPr>
    </w:p>
    <w:p w:rsidR="004B32D9" w:rsidRDefault="004B32D9" w:rsidP="006A7B30">
      <w:pPr>
        <w:spacing w:after="0" w:line="360" w:lineRule="auto"/>
        <w:jc w:val="both"/>
        <w:rPr>
          <w:rFonts w:ascii="Times New Roman" w:hAnsi="Times New Roman" w:cs="Times New Roman"/>
          <w:sz w:val="24"/>
          <w:szCs w:val="24"/>
        </w:rPr>
      </w:pPr>
    </w:p>
    <w:p w:rsidR="004B32D9" w:rsidRDefault="004B32D9" w:rsidP="006A7B30">
      <w:pPr>
        <w:spacing w:after="0" w:line="360" w:lineRule="auto"/>
        <w:jc w:val="both"/>
        <w:rPr>
          <w:rFonts w:ascii="Times New Roman" w:hAnsi="Times New Roman" w:cs="Times New Roman"/>
          <w:sz w:val="24"/>
          <w:szCs w:val="24"/>
        </w:rPr>
      </w:pPr>
    </w:p>
    <w:p w:rsidR="004B32D9" w:rsidRDefault="004B32D9" w:rsidP="006A7B30">
      <w:pPr>
        <w:spacing w:after="0" w:line="360" w:lineRule="auto"/>
        <w:jc w:val="both"/>
        <w:rPr>
          <w:rFonts w:ascii="Times New Roman" w:hAnsi="Times New Roman" w:cs="Times New Roman"/>
          <w:sz w:val="24"/>
          <w:szCs w:val="24"/>
        </w:rPr>
      </w:pPr>
    </w:p>
    <w:p w:rsidR="004B32D9" w:rsidRPr="004B32D9" w:rsidRDefault="004B32D9" w:rsidP="006A7B30">
      <w:pPr>
        <w:spacing w:after="0" w:line="360" w:lineRule="auto"/>
        <w:jc w:val="both"/>
        <w:rPr>
          <w:rFonts w:ascii="Times New Roman" w:hAnsi="Times New Roman" w:cs="Times New Roman"/>
          <w:b/>
          <w:sz w:val="24"/>
          <w:szCs w:val="24"/>
        </w:rPr>
      </w:pPr>
      <w:r w:rsidRPr="004B32D9">
        <w:rPr>
          <w:rFonts w:ascii="Times New Roman" w:hAnsi="Times New Roman" w:cs="Times New Roman"/>
          <w:b/>
          <w:sz w:val="24"/>
          <w:szCs w:val="24"/>
        </w:rPr>
        <w:lastRenderedPageBreak/>
        <w:t>Conclusión</w:t>
      </w:r>
    </w:p>
    <w:p w:rsidR="006A7B30" w:rsidRDefault="006A7B30" w:rsidP="006A7B30">
      <w:pPr>
        <w:spacing w:after="0" w:line="360" w:lineRule="auto"/>
        <w:jc w:val="both"/>
        <w:rPr>
          <w:rFonts w:ascii="Times New Roman" w:hAnsi="Times New Roman" w:cs="Times New Roman"/>
          <w:sz w:val="24"/>
          <w:szCs w:val="24"/>
        </w:rPr>
      </w:pPr>
      <w:r w:rsidRPr="004B32D9">
        <w:rPr>
          <w:rFonts w:ascii="Times New Roman" w:hAnsi="Times New Roman" w:cs="Times New Roman"/>
          <w:sz w:val="24"/>
          <w:szCs w:val="24"/>
        </w:rPr>
        <w:t>Para incrementar las fortalezas del proyecto es fundamental la motivación del estudiante tanto en el aspecto académico como en el personal. Este factor básico, al tomarse en cuenta mediante un planteamiento específico para cada materia, se matiza por cada docente que debe informarse de las innovaciones de los demás cursos del programa para tratar de configurarlo de manera que el concepto motivacional  de la experiencia educativa engarce con todas las demás, con el fin de no romper eso tan delicado que es la motivación del estudiante (para mí, bujía del comportamiento con responsabilidad</w:t>
      </w:r>
      <w:proofErr w:type="gramStart"/>
      <w:r w:rsidRPr="004B32D9">
        <w:rPr>
          <w:rFonts w:ascii="Times New Roman" w:hAnsi="Times New Roman" w:cs="Times New Roman"/>
          <w:sz w:val="24"/>
          <w:szCs w:val="24"/>
        </w:rPr>
        <w:t>) .</w:t>
      </w:r>
      <w:proofErr w:type="gramEnd"/>
      <w:r w:rsidRPr="004B32D9">
        <w:rPr>
          <w:rFonts w:ascii="Times New Roman" w:hAnsi="Times New Roman" w:cs="Times New Roman"/>
          <w:sz w:val="24"/>
          <w:szCs w:val="24"/>
        </w:rPr>
        <w:t xml:space="preserve"> Sin que esto signifique uniformización de criterios o percepciones que pueden obstaculizar la imaginación y libertad de pensamiento, características tan apreciadas en los criterios de enseñanza- aprendizaje, actuales.</w:t>
      </w:r>
    </w:p>
    <w:p w:rsidR="004B32D9" w:rsidRDefault="004B32D9" w:rsidP="006A7B30">
      <w:pPr>
        <w:spacing w:after="0" w:line="360" w:lineRule="auto"/>
        <w:jc w:val="both"/>
        <w:rPr>
          <w:rFonts w:ascii="Times New Roman" w:hAnsi="Times New Roman" w:cs="Times New Roman"/>
          <w:sz w:val="24"/>
          <w:szCs w:val="24"/>
        </w:rPr>
      </w:pPr>
    </w:p>
    <w:p w:rsidR="004B32D9" w:rsidRPr="004B32D9" w:rsidRDefault="004B32D9" w:rsidP="006A7B30">
      <w:pPr>
        <w:spacing w:after="0" w:line="360" w:lineRule="auto"/>
        <w:jc w:val="both"/>
        <w:rPr>
          <w:rFonts w:cstheme="minorHAnsi"/>
          <w:color w:val="7030A0"/>
          <w:sz w:val="28"/>
          <w:szCs w:val="24"/>
        </w:rPr>
      </w:pPr>
      <w:r w:rsidRPr="004B32D9">
        <w:rPr>
          <w:rFonts w:cstheme="minorHAnsi"/>
          <w:color w:val="7030A0"/>
          <w:sz w:val="28"/>
          <w:szCs w:val="24"/>
        </w:rPr>
        <w:t>Bibliografía</w:t>
      </w:r>
    </w:p>
    <w:p w:rsidR="004B32D9" w:rsidRPr="004B32D9" w:rsidRDefault="004B32D9" w:rsidP="004B32D9">
      <w:pPr>
        <w:spacing w:after="0" w:line="360" w:lineRule="auto"/>
        <w:ind w:left="709" w:hanging="709"/>
        <w:jc w:val="both"/>
        <w:rPr>
          <w:rFonts w:ascii="Times New Roman" w:hAnsi="Times New Roman" w:cs="Times New Roman"/>
          <w:sz w:val="24"/>
          <w:szCs w:val="24"/>
        </w:rPr>
      </w:pPr>
      <w:proofErr w:type="spellStart"/>
      <w:r w:rsidRPr="004B32D9">
        <w:rPr>
          <w:rFonts w:ascii="Times New Roman" w:hAnsi="Times New Roman" w:cs="Times New Roman"/>
          <w:sz w:val="24"/>
          <w:szCs w:val="24"/>
        </w:rPr>
        <w:t>Caride</w:t>
      </w:r>
      <w:proofErr w:type="spellEnd"/>
      <w:r w:rsidRPr="004B32D9">
        <w:rPr>
          <w:rFonts w:ascii="Times New Roman" w:hAnsi="Times New Roman" w:cs="Times New Roman"/>
          <w:sz w:val="24"/>
          <w:szCs w:val="24"/>
        </w:rPr>
        <w:t xml:space="preserve">, J. A. y </w:t>
      </w:r>
      <w:proofErr w:type="spellStart"/>
      <w:r w:rsidRPr="004B32D9">
        <w:rPr>
          <w:rFonts w:ascii="Times New Roman" w:hAnsi="Times New Roman" w:cs="Times New Roman"/>
          <w:sz w:val="24"/>
          <w:szCs w:val="24"/>
        </w:rPr>
        <w:t>Meira</w:t>
      </w:r>
      <w:proofErr w:type="spellEnd"/>
      <w:r w:rsidRPr="004B32D9">
        <w:rPr>
          <w:rFonts w:ascii="Times New Roman" w:hAnsi="Times New Roman" w:cs="Times New Roman"/>
          <w:sz w:val="24"/>
          <w:szCs w:val="24"/>
        </w:rPr>
        <w:t xml:space="preserve"> P. A. 2001. La educación ambiental como estrategia y prácticas: Señas de identidad y perfiles históricos. España: Ariel Educación.</w:t>
      </w:r>
    </w:p>
    <w:p w:rsidR="004B32D9" w:rsidRPr="004B32D9" w:rsidRDefault="004B32D9" w:rsidP="004B32D9">
      <w:pPr>
        <w:spacing w:after="0" w:line="360" w:lineRule="auto"/>
        <w:ind w:left="709" w:hanging="709"/>
        <w:jc w:val="both"/>
        <w:rPr>
          <w:rFonts w:ascii="Times New Roman" w:hAnsi="Times New Roman" w:cs="Times New Roman"/>
          <w:sz w:val="24"/>
          <w:szCs w:val="24"/>
          <w:lang w:val="en-US"/>
        </w:rPr>
      </w:pPr>
      <w:r w:rsidRPr="004B32D9">
        <w:rPr>
          <w:rFonts w:ascii="Times New Roman" w:hAnsi="Times New Roman" w:cs="Times New Roman"/>
          <w:sz w:val="24"/>
          <w:szCs w:val="24"/>
          <w:lang w:val="en-US"/>
        </w:rPr>
        <w:t>Coyle</w:t>
      </w:r>
      <w:proofErr w:type="gramStart"/>
      <w:r w:rsidRPr="004B32D9">
        <w:rPr>
          <w:rFonts w:ascii="Times New Roman" w:hAnsi="Times New Roman" w:cs="Times New Roman"/>
          <w:sz w:val="24"/>
          <w:szCs w:val="24"/>
          <w:lang w:val="en-US"/>
        </w:rPr>
        <w:t>,  K</w:t>
      </w:r>
      <w:proofErr w:type="gramEnd"/>
      <w:r w:rsidRPr="004B32D9">
        <w:rPr>
          <w:rFonts w:ascii="Times New Roman" w:hAnsi="Times New Roman" w:cs="Times New Roman"/>
          <w:sz w:val="24"/>
          <w:szCs w:val="24"/>
          <w:lang w:val="en-US"/>
        </w:rPr>
        <w:t xml:space="preserve"> . 2005. Environmental literacy in America. What ten years of NEETF/Roper research and related studies say about environmental literacy in the U. S. Washington: The National Environmental Education &amp; Training </w:t>
      </w:r>
      <w:proofErr w:type="gramStart"/>
      <w:r w:rsidRPr="004B32D9">
        <w:rPr>
          <w:rFonts w:ascii="Times New Roman" w:hAnsi="Times New Roman" w:cs="Times New Roman"/>
          <w:sz w:val="24"/>
          <w:szCs w:val="24"/>
          <w:lang w:val="en-US"/>
        </w:rPr>
        <w:t>Foundation</w:t>
      </w:r>
      <w:proofErr w:type="gramEnd"/>
    </w:p>
    <w:p w:rsidR="004B32D9" w:rsidRPr="004B32D9" w:rsidRDefault="004B32D9" w:rsidP="004B32D9">
      <w:pPr>
        <w:spacing w:after="0" w:line="360" w:lineRule="auto"/>
        <w:ind w:left="709" w:hanging="709"/>
        <w:jc w:val="both"/>
        <w:rPr>
          <w:rFonts w:ascii="Times New Roman" w:hAnsi="Times New Roman" w:cs="Times New Roman"/>
          <w:sz w:val="24"/>
          <w:szCs w:val="24"/>
        </w:rPr>
      </w:pPr>
      <w:r w:rsidRPr="004B32D9">
        <w:rPr>
          <w:rFonts w:ascii="Times New Roman" w:hAnsi="Times New Roman" w:cs="Times New Roman"/>
          <w:sz w:val="24"/>
          <w:szCs w:val="24"/>
        </w:rPr>
        <w:t>CONABIO. 2007. Regionalización. http://www.conabio.gob.mx/conocimiento/regionalizacion/doctos/regionalizacion.html (9 de agosto de 2008)</w:t>
      </w:r>
    </w:p>
    <w:p w:rsidR="004B32D9" w:rsidRPr="004B32D9" w:rsidRDefault="004B32D9" w:rsidP="004B32D9">
      <w:pPr>
        <w:spacing w:after="0" w:line="360" w:lineRule="auto"/>
        <w:ind w:left="709" w:hanging="709"/>
        <w:jc w:val="both"/>
        <w:rPr>
          <w:rFonts w:ascii="Times New Roman" w:hAnsi="Times New Roman" w:cs="Times New Roman"/>
          <w:sz w:val="24"/>
          <w:szCs w:val="24"/>
        </w:rPr>
      </w:pPr>
      <w:r w:rsidRPr="004B32D9">
        <w:rPr>
          <w:rFonts w:ascii="Times New Roman" w:hAnsi="Times New Roman" w:cs="Times New Roman"/>
          <w:sz w:val="24"/>
          <w:szCs w:val="24"/>
        </w:rPr>
        <w:t>CONAPO. 2010. Índice de marginación por entidad federativa y municipio 2010. http://www.conapo.gob.mx/es/CONAPO/Indices_de_Marginacion_2010_por_entidad_federativa_y_municipio  (15 de diciembre de 2013)</w:t>
      </w:r>
    </w:p>
    <w:p w:rsidR="004B32D9" w:rsidRPr="004B32D9" w:rsidRDefault="004B32D9" w:rsidP="004B32D9">
      <w:pPr>
        <w:spacing w:after="0" w:line="360" w:lineRule="auto"/>
        <w:ind w:left="709" w:hanging="709"/>
        <w:jc w:val="both"/>
        <w:rPr>
          <w:rFonts w:ascii="Times New Roman" w:hAnsi="Times New Roman" w:cs="Times New Roman"/>
          <w:sz w:val="24"/>
          <w:szCs w:val="24"/>
        </w:rPr>
      </w:pPr>
      <w:r w:rsidRPr="004B32D9">
        <w:rPr>
          <w:rFonts w:ascii="Times New Roman" w:hAnsi="Times New Roman" w:cs="Times New Roman"/>
          <w:sz w:val="24"/>
          <w:szCs w:val="24"/>
        </w:rPr>
        <w:t>Bustillos, J. 2000. Petróleo, áreas naturales protegidas y gestión ambiental. México: SEMARNAT</w:t>
      </w:r>
    </w:p>
    <w:p w:rsidR="004B32D9" w:rsidRPr="004B32D9" w:rsidRDefault="004B32D9" w:rsidP="004B32D9">
      <w:pPr>
        <w:spacing w:after="0" w:line="360" w:lineRule="auto"/>
        <w:ind w:left="709" w:hanging="709"/>
        <w:jc w:val="both"/>
        <w:rPr>
          <w:rFonts w:ascii="Times New Roman" w:hAnsi="Times New Roman" w:cs="Times New Roman"/>
          <w:sz w:val="24"/>
          <w:szCs w:val="24"/>
        </w:rPr>
      </w:pPr>
      <w:r w:rsidRPr="004B32D9">
        <w:rPr>
          <w:rFonts w:ascii="Times New Roman" w:hAnsi="Times New Roman" w:cs="Times New Roman"/>
          <w:sz w:val="24"/>
          <w:szCs w:val="24"/>
        </w:rPr>
        <w:t>INEGI. 2011. Perspectiva estadística de Campeche. Instituto Nacional de Estadística y Geografía: México</w:t>
      </w:r>
    </w:p>
    <w:p w:rsidR="004B32D9" w:rsidRPr="004B32D9" w:rsidRDefault="004B32D9" w:rsidP="004B32D9">
      <w:pPr>
        <w:spacing w:after="0" w:line="360" w:lineRule="auto"/>
        <w:ind w:left="709" w:hanging="709"/>
        <w:jc w:val="both"/>
        <w:rPr>
          <w:rFonts w:ascii="Times New Roman" w:hAnsi="Times New Roman" w:cs="Times New Roman"/>
          <w:sz w:val="24"/>
          <w:szCs w:val="24"/>
        </w:rPr>
      </w:pPr>
      <w:proofErr w:type="spellStart"/>
      <w:r w:rsidRPr="004B32D9">
        <w:rPr>
          <w:rFonts w:ascii="Times New Roman" w:hAnsi="Times New Roman" w:cs="Times New Roman"/>
          <w:sz w:val="24"/>
          <w:szCs w:val="24"/>
          <w:lang w:val="en-US"/>
        </w:rPr>
        <w:t>Kollmuss</w:t>
      </w:r>
      <w:proofErr w:type="spellEnd"/>
      <w:r w:rsidRPr="004B32D9">
        <w:rPr>
          <w:rFonts w:ascii="Times New Roman" w:hAnsi="Times New Roman" w:cs="Times New Roman"/>
          <w:sz w:val="24"/>
          <w:szCs w:val="24"/>
          <w:lang w:val="en-US"/>
        </w:rPr>
        <w:t xml:space="preserve">, A., </w:t>
      </w:r>
      <w:proofErr w:type="spellStart"/>
      <w:r w:rsidRPr="004B32D9">
        <w:rPr>
          <w:rFonts w:ascii="Times New Roman" w:hAnsi="Times New Roman" w:cs="Times New Roman"/>
          <w:sz w:val="24"/>
          <w:szCs w:val="24"/>
          <w:lang w:val="en-US"/>
        </w:rPr>
        <w:t>Agyean</w:t>
      </w:r>
      <w:proofErr w:type="spellEnd"/>
      <w:r w:rsidRPr="004B32D9">
        <w:rPr>
          <w:rFonts w:ascii="Times New Roman" w:hAnsi="Times New Roman" w:cs="Times New Roman"/>
          <w:sz w:val="24"/>
          <w:szCs w:val="24"/>
          <w:lang w:val="en-US"/>
        </w:rPr>
        <w:t xml:space="preserve"> J. 2002. Mind the act: Why do people act environmentally and what are the barriers to pro-environmental behavior? </w:t>
      </w:r>
      <w:proofErr w:type="spellStart"/>
      <w:r w:rsidRPr="004B32D9">
        <w:rPr>
          <w:rFonts w:ascii="Times New Roman" w:hAnsi="Times New Roman" w:cs="Times New Roman"/>
          <w:sz w:val="24"/>
          <w:szCs w:val="24"/>
        </w:rPr>
        <w:t>Environmental</w:t>
      </w:r>
      <w:proofErr w:type="spellEnd"/>
      <w:r w:rsidRPr="004B32D9">
        <w:rPr>
          <w:rFonts w:ascii="Times New Roman" w:hAnsi="Times New Roman" w:cs="Times New Roman"/>
          <w:sz w:val="24"/>
          <w:szCs w:val="24"/>
        </w:rPr>
        <w:t xml:space="preserve"> </w:t>
      </w:r>
      <w:proofErr w:type="spellStart"/>
      <w:r w:rsidRPr="004B32D9">
        <w:rPr>
          <w:rFonts w:ascii="Times New Roman" w:hAnsi="Times New Roman" w:cs="Times New Roman"/>
          <w:sz w:val="24"/>
          <w:szCs w:val="24"/>
        </w:rPr>
        <w:t>Education</w:t>
      </w:r>
      <w:proofErr w:type="spellEnd"/>
      <w:r w:rsidRPr="004B32D9">
        <w:rPr>
          <w:rFonts w:ascii="Times New Roman" w:hAnsi="Times New Roman" w:cs="Times New Roman"/>
          <w:sz w:val="24"/>
          <w:szCs w:val="24"/>
        </w:rPr>
        <w:t xml:space="preserve"> </w:t>
      </w:r>
      <w:proofErr w:type="spellStart"/>
      <w:r w:rsidRPr="004B32D9">
        <w:rPr>
          <w:rFonts w:ascii="Times New Roman" w:hAnsi="Times New Roman" w:cs="Times New Roman"/>
          <w:sz w:val="24"/>
          <w:szCs w:val="24"/>
        </w:rPr>
        <w:t>Research</w:t>
      </w:r>
      <w:proofErr w:type="spellEnd"/>
      <w:r w:rsidRPr="004B32D9">
        <w:rPr>
          <w:rFonts w:ascii="Times New Roman" w:hAnsi="Times New Roman" w:cs="Times New Roman"/>
          <w:sz w:val="24"/>
          <w:szCs w:val="24"/>
        </w:rPr>
        <w:t xml:space="preserve"> 8 (3): 239-260</w:t>
      </w:r>
    </w:p>
    <w:p w:rsidR="004B32D9" w:rsidRPr="004B32D9" w:rsidRDefault="004B32D9" w:rsidP="004B32D9">
      <w:pPr>
        <w:spacing w:after="0" w:line="360" w:lineRule="auto"/>
        <w:ind w:left="709" w:hanging="709"/>
        <w:jc w:val="both"/>
        <w:rPr>
          <w:rFonts w:ascii="Times New Roman" w:hAnsi="Times New Roman" w:cs="Times New Roman"/>
          <w:sz w:val="24"/>
          <w:szCs w:val="24"/>
        </w:rPr>
      </w:pPr>
      <w:r w:rsidRPr="004B32D9">
        <w:rPr>
          <w:rFonts w:ascii="Times New Roman" w:hAnsi="Times New Roman" w:cs="Times New Roman"/>
          <w:sz w:val="24"/>
          <w:szCs w:val="24"/>
        </w:rPr>
        <w:t>Lezama, J. L. 2008. La construcción social y política del medio ambiente. México: El Colegio de México</w:t>
      </w:r>
    </w:p>
    <w:p w:rsidR="004B32D9" w:rsidRPr="004B32D9" w:rsidRDefault="004B32D9" w:rsidP="004B32D9">
      <w:pPr>
        <w:spacing w:after="0" w:line="360" w:lineRule="auto"/>
        <w:ind w:left="709" w:hanging="709"/>
        <w:jc w:val="both"/>
        <w:rPr>
          <w:rFonts w:ascii="Times New Roman" w:hAnsi="Times New Roman" w:cs="Times New Roman"/>
          <w:sz w:val="24"/>
          <w:szCs w:val="24"/>
        </w:rPr>
      </w:pPr>
      <w:proofErr w:type="spellStart"/>
      <w:r w:rsidRPr="004B32D9">
        <w:rPr>
          <w:rFonts w:ascii="Times New Roman" w:hAnsi="Times New Roman" w:cs="Times New Roman"/>
          <w:sz w:val="24"/>
          <w:szCs w:val="24"/>
        </w:rPr>
        <w:t>Meira</w:t>
      </w:r>
      <w:proofErr w:type="spellEnd"/>
      <w:r w:rsidRPr="004B32D9">
        <w:rPr>
          <w:rFonts w:ascii="Times New Roman" w:hAnsi="Times New Roman" w:cs="Times New Roman"/>
          <w:sz w:val="24"/>
          <w:szCs w:val="24"/>
        </w:rPr>
        <w:t>, A. 2007. Comunicar el cambio climático. Escenario social y líneas de acción. España: Ministerio de Medio Ambiente, y Medio Rural y Marino.</w:t>
      </w:r>
    </w:p>
    <w:p w:rsidR="004B32D9" w:rsidRPr="004B32D9" w:rsidRDefault="004B32D9" w:rsidP="004B32D9">
      <w:pPr>
        <w:spacing w:after="0" w:line="360" w:lineRule="auto"/>
        <w:ind w:left="709" w:hanging="709"/>
        <w:jc w:val="both"/>
        <w:rPr>
          <w:rFonts w:ascii="Times New Roman" w:hAnsi="Times New Roman" w:cs="Times New Roman"/>
          <w:sz w:val="24"/>
          <w:szCs w:val="24"/>
        </w:rPr>
      </w:pPr>
      <w:r w:rsidRPr="004B32D9">
        <w:rPr>
          <w:rFonts w:ascii="Times New Roman" w:hAnsi="Times New Roman" w:cs="Times New Roman"/>
          <w:sz w:val="24"/>
          <w:szCs w:val="24"/>
        </w:rPr>
        <w:t>Moreno, A. R., Urbina J. 2008. Impactos sociales del cambio climático. México: Instituto Nacional de Ecología, Programa de las Naciones Unidas para el Desarrollo.</w:t>
      </w:r>
    </w:p>
    <w:p w:rsidR="004B32D9" w:rsidRPr="004B32D9" w:rsidRDefault="004B32D9" w:rsidP="004B32D9">
      <w:pPr>
        <w:spacing w:after="0" w:line="360" w:lineRule="auto"/>
        <w:ind w:left="709" w:hanging="709"/>
        <w:jc w:val="both"/>
        <w:rPr>
          <w:rFonts w:ascii="Times New Roman" w:hAnsi="Times New Roman" w:cs="Times New Roman"/>
          <w:sz w:val="24"/>
          <w:szCs w:val="24"/>
        </w:rPr>
      </w:pPr>
      <w:r w:rsidRPr="004B32D9">
        <w:rPr>
          <w:rFonts w:ascii="Times New Roman" w:hAnsi="Times New Roman" w:cs="Times New Roman"/>
          <w:sz w:val="24"/>
          <w:szCs w:val="24"/>
          <w:lang w:val="en-US"/>
        </w:rPr>
        <w:lastRenderedPageBreak/>
        <w:t xml:space="preserve">SEGOB 2014. </w:t>
      </w:r>
      <w:r w:rsidRPr="004B32D9">
        <w:rPr>
          <w:rFonts w:ascii="Times New Roman" w:hAnsi="Times New Roman" w:cs="Times New Roman"/>
          <w:sz w:val="24"/>
          <w:szCs w:val="24"/>
        </w:rPr>
        <w:t xml:space="preserve">Sistema Nacional de Protección Civil. </w:t>
      </w:r>
      <w:hyperlink r:id="rId13" w:history="1">
        <w:r w:rsidRPr="004B32D9">
          <w:rPr>
            <w:rStyle w:val="Hipervnculo"/>
            <w:rFonts w:ascii="Times New Roman" w:hAnsi="Times New Roman" w:cs="Times New Roman"/>
            <w:sz w:val="24"/>
            <w:szCs w:val="24"/>
          </w:rPr>
          <w:t>http://www.proteccioncivil.gob.mx/es/ProteccionCivil/Bienvenida (20</w:t>
        </w:r>
      </w:hyperlink>
      <w:r w:rsidRPr="004B32D9">
        <w:rPr>
          <w:rFonts w:ascii="Times New Roman" w:hAnsi="Times New Roman" w:cs="Times New Roman"/>
          <w:sz w:val="24"/>
          <w:szCs w:val="24"/>
        </w:rPr>
        <w:t xml:space="preserve"> de marzo de 2014)</w:t>
      </w:r>
    </w:p>
    <w:p w:rsidR="004B32D9" w:rsidRPr="004B32D9" w:rsidRDefault="004B32D9" w:rsidP="004B32D9">
      <w:pPr>
        <w:spacing w:after="0" w:line="360" w:lineRule="auto"/>
        <w:ind w:left="709" w:hanging="709"/>
        <w:jc w:val="both"/>
        <w:rPr>
          <w:rFonts w:cstheme="minorHAnsi"/>
          <w:sz w:val="24"/>
          <w:szCs w:val="24"/>
        </w:rPr>
      </w:pPr>
      <w:r w:rsidRPr="004B32D9">
        <w:rPr>
          <w:rFonts w:ascii="Times New Roman" w:hAnsi="Times New Roman" w:cs="Times New Roman"/>
          <w:sz w:val="24"/>
          <w:szCs w:val="24"/>
          <w:lang w:val="en-US"/>
        </w:rPr>
        <w:t>Stern, N. 2007. The economics of climate change. The Stern review. UK: Cambridge University Press</w:t>
      </w:r>
    </w:p>
    <w:sectPr w:rsidR="004B32D9" w:rsidRPr="004B32D9" w:rsidSect="004B32D9">
      <w:headerReference w:type="even" r:id="rId14"/>
      <w:headerReference w:type="default" r:id="rId15"/>
      <w:footerReference w:type="even" r:id="rId16"/>
      <w:footerReference w:type="default" r:id="rId17"/>
      <w:headerReference w:type="first" r:id="rId18"/>
      <w:footerReference w:type="first" r:id="rId19"/>
      <w:pgSz w:w="12240" w:h="15840"/>
      <w:pgMar w:top="1459" w:right="720" w:bottom="568" w:left="720" w:header="708" w:footer="6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51A" w:rsidRDefault="00A5651A" w:rsidP="005A26B3">
      <w:pPr>
        <w:spacing w:after="0" w:line="240" w:lineRule="auto"/>
      </w:pPr>
      <w:r>
        <w:separator/>
      </w:r>
    </w:p>
  </w:endnote>
  <w:endnote w:type="continuationSeparator" w:id="0">
    <w:p w:rsidR="00A5651A" w:rsidRDefault="00A5651A" w:rsidP="005A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8D" w:rsidRDefault="005449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09" w:rsidRDefault="00CB2F09" w:rsidP="00CB2F09">
    <w:pPr>
      <w:pStyle w:val="Piedepgina"/>
    </w:pPr>
  </w:p>
  <w:p w:rsidR="005A26B3" w:rsidRDefault="004B32D9" w:rsidP="004B32D9">
    <w:pPr>
      <w:spacing w:after="0" w:line="240" w:lineRule="auto"/>
      <w:jc w:val="center"/>
    </w:pPr>
    <w:r>
      <w:rPr>
        <w:rFonts w:cs="Calibri"/>
        <w:b/>
      </w:rPr>
      <w:t>Vol. 2, Núm. 3</w:t>
    </w:r>
    <w:r w:rsidRPr="00DB0B18">
      <w:rPr>
        <w:rFonts w:cs="Calibri"/>
        <w:b/>
      </w:rPr>
      <w:t xml:space="preserve">                   </w:t>
    </w:r>
    <w:r>
      <w:rPr>
        <w:rFonts w:cs="Calibri"/>
        <w:b/>
      </w:rPr>
      <w:t>Enero – Junio 2015</w:t>
    </w:r>
    <w:r w:rsidRPr="00DB0B18">
      <w:rPr>
        <w:rFonts w:cs="Calibri"/>
        <w:b/>
      </w:rPr>
      <w:t xml:space="preserve">                           </w:t>
    </w:r>
    <w:r>
      <w:rPr>
        <w:rFonts w:cs="Calibri"/>
        <w:b/>
      </w:rPr>
      <w:t>CDHIS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8D" w:rsidRDefault="005449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51A" w:rsidRDefault="00A5651A" w:rsidP="005A26B3">
      <w:pPr>
        <w:spacing w:after="0" w:line="240" w:lineRule="auto"/>
      </w:pPr>
      <w:r>
        <w:separator/>
      </w:r>
    </w:p>
  </w:footnote>
  <w:footnote w:type="continuationSeparator" w:id="0">
    <w:p w:rsidR="00A5651A" w:rsidRDefault="00A5651A" w:rsidP="005A2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8D" w:rsidRDefault="005449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8D" w:rsidRDefault="0054498D" w:rsidP="0054498D">
    <w:pPr>
      <w:pStyle w:val="Encabezado"/>
      <w:jc w:val="center"/>
    </w:pPr>
    <w:r>
      <w:rPr>
        <w:rFonts w:cstheme="minorHAnsi"/>
        <w:b/>
        <w:i/>
      </w:rPr>
      <w:t>Revista Electrónica del Desarrollo Humano para la Innovación Social         ISSN: 2448 - 7422</w:t>
    </w:r>
  </w:p>
  <w:p w:rsidR="005A26B3" w:rsidRDefault="005A26B3">
    <w:pPr>
      <w:pStyle w:val="Encabezad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8D" w:rsidRDefault="005449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97C99"/>
    <w:multiLevelType w:val="hybridMultilevel"/>
    <w:tmpl w:val="88A46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E032EF"/>
    <w:multiLevelType w:val="hybridMultilevel"/>
    <w:tmpl w:val="76704B6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C871A9"/>
    <w:multiLevelType w:val="hybridMultilevel"/>
    <w:tmpl w:val="48A8D1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E25B37"/>
    <w:multiLevelType w:val="hybridMultilevel"/>
    <w:tmpl w:val="26B66A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747F"/>
    <w:rsid w:val="000B0CE8"/>
    <w:rsid w:val="00156EED"/>
    <w:rsid w:val="00245F39"/>
    <w:rsid w:val="00264983"/>
    <w:rsid w:val="004B32D9"/>
    <w:rsid w:val="005134A3"/>
    <w:rsid w:val="0054498D"/>
    <w:rsid w:val="00546FE7"/>
    <w:rsid w:val="005A26B3"/>
    <w:rsid w:val="006A7B30"/>
    <w:rsid w:val="007563E7"/>
    <w:rsid w:val="008A30B7"/>
    <w:rsid w:val="008F7FD5"/>
    <w:rsid w:val="009D5AC8"/>
    <w:rsid w:val="00A5651A"/>
    <w:rsid w:val="00A8747F"/>
    <w:rsid w:val="00B002BF"/>
    <w:rsid w:val="00B024B7"/>
    <w:rsid w:val="00B71FC4"/>
    <w:rsid w:val="00CB2F09"/>
    <w:rsid w:val="00D738E0"/>
    <w:rsid w:val="00EF64CA"/>
    <w:rsid w:val="00F470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314CB-0B84-4BF3-9C24-15C9E6C3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6B3"/>
    <w:rPr>
      <w:rFonts w:ascii="Tahoma" w:hAnsi="Tahoma" w:cs="Tahoma"/>
      <w:sz w:val="16"/>
      <w:szCs w:val="16"/>
    </w:rPr>
  </w:style>
  <w:style w:type="paragraph" w:styleId="Prrafodelista">
    <w:name w:val="List Paragraph"/>
    <w:basedOn w:val="Normal"/>
    <w:link w:val="PrrafodelistaCar"/>
    <w:uiPriority w:val="34"/>
    <w:qFormat/>
    <w:rsid w:val="006A7B30"/>
    <w:pPr>
      <w:ind w:left="720"/>
      <w:contextualSpacing/>
    </w:pPr>
  </w:style>
  <w:style w:type="character" w:styleId="Hipervnculo">
    <w:name w:val="Hyperlink"/>
    <w:basedOn w:val="Fuentedeprrafopredeter"/>
    <w:uiPriority w:val="99"/>
    <w:unhideWhenUsed/>
    <w:rsid w:val="006A7B30"/>
    <w:rPr>
      <w:color w:val="0000FF" w:themeColor="hyperlink"/>
      <w:u w:val="single"/>
    </w:rPr>
  </w:style>
  <w:style w:type="character" w:customStyle="1" w:styleId="PrrafodelistaCar">
    <w:name w:val="Párrafo de lista Car"/>
    <w:basedOn w:val="Fuentedeprrafopredeter"/>
    <w:link w:val="Prrafodelista"/>
    <w:uiPriority w:val="34"/>
    <w:rsid w:val="004B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78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proteccioncivil.gob.mx/es/ProteccionCivil/Bienvenida%20(2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4.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Sub competencia No.</a:t>
            </a:r>
            <a:r>
              <a:rPr lang="es-ES" baseline="0"/>
              <a:t> 1</a:t>
            </a:r>
            <a:endParaRPr lang="es-ES"/>
          </a:p>
        </c:rich>
      </c:tx>
      <c:overlay val="0"/>
    </c:title>
    <c:autoTitleDeleted val="0"/>
    <c:plotArea>
      <c:layout/>
      <c:scatterChart>
        <c:scatterStyle val="lineMarker"/>
        <c:varyColors val="0"/>
        <c:ser>
          <c:idx val="0"/>
          <c:order val="0"/>
          <c:tx>
            <c:v>Distribución de Sub- competencias</c:v>
          </c:tx>
          <c:xVal>
            <c:numRef>
              <c:f>Hoja1!$J$7:$J$10</c:f>
              <c:numCache>
                <c:formatCode>General</c:formatCode>
                <c:ptCount val="4"/>
                <c:pt idx="0">
                  <c:v>7</c:v>
                </c:pt>
                <c:pt idx="1">
                  <c:v>8</c:v>
                </c:pt>
                <c:pt idx="2">
                  <c:v>9</c:v>
                </c:pt>
                <c:pt idx="3">
                  <c:v>10</c:v>
                </c:pt>
              </c:numCache>
            </c:numRef>
          </c:xVal>
          <c:yVal>
            <c:numRef>
              <c:f>Hoja1!$K$7:$K$10</c:f>
              <c:numCache>
                <c:formatCode>General</c:formatCode>
                <c:ptCount val="4"/>
                <c:pt idx="0">
                  <c:v>5.1299999999999998E-2</c:v>
                </c:pt>
                <c:pt idx="1">
                  <c:v>0.36540000000000028</c:v>
                </c:pt>
                <c:pt idx="2">
                  <c:v>0.3910000000000004</c:v>
                </c:pt>
                <c:pt idx="3">
                  <c:v>0.19230000000000003</c:v>
                </c:pt>
              </c:numCache>
            </c:numRef>
          </c:yVal>
          <c:smooth val="1"/>
        </c:ser>
        <c:dLbls>
          <c:showLegendKey val="0"/>
          <c:showVal val="0"/>
          <c:showCatName val="0"/>
          <c:showSerName val="0"/>
          <c:showPercent val="0"/>
          <c:showBubbleSize val="0"/>
        </c:dLbls>
        <c:axId val="446610792"/>
        <c:axId val="446614320"/>
      </c:scatterChart>
      <c:valAx>
        <c:axId val="446610792"/>
        <c:scaling>
          <c:orientation val="minMax"/>
          <c:max val="10"/>
          <c:min val="6"/>
        </c:scaling>
        <c:delete val="0"/>
        <c:axPos val="b"/>
        <c:majorGridlines/>
        <c:title>
          <c:tx>
            <c:rich>
              <a:bodyPr/>
              <a:lstStyle/>
              <a:p>
                <a:pPr>
                  <a:defRPr/>
                </a:pPr>
                <a:r>
                  <a:rPr lang="es-ES"/>
                  <a:t>Calificaciones</a:t>
                </a:r>
              </a:p>
            </c:rich>
          </c:tx>
          <c:overlay val="0"/>
        </c:title>
        <c:numFmt formatCode="General" sourceLinked="1"/>
        <c:majorTickMark val="out"/>
        <c:minorTickMark val="none"/>
        <c:tickLblPos val="nextTo"/>
        <c:crossAx val="446614320"/>
        <c:crosses val="autoZero"/>
        <c:crossBetween val="midCat"/>
      </c:valAx>
      <c:valAx>
        <c:axId val="446614320"/>
        <c:scaling>
          <c:orientation val="minMax"/>
        </c:scaling>
        <c:delete val="0"/>
        <c:axPos val="l"/>
        <c:majorGridlines/>
        <c:title>
          <c:tx>
            <c:rich>
              <a:bodyPr rot="-5400000" vert="horz"/>
              <a:lstStyle/>
              <a:p>
                <a:pPr>
                  <a:defRPr/>
                </a:pPr>
                <a:r>
                  <a:rPr lang="es-ES"/>
                  <a:t>Frecuencia </a:t>
                </a:r>
              </a:p>
            </c:rich>
          </c:tx>
          <c:overlay val="0"/>
        </c:title>
        <c:numFmt formatCode="General" sourceLinked="1"/>
        <c:majorTickMark val="out"/>
        <c:minorTickMark val="none"/>
        <c:tickLblPos val="nextTo"/>
        <c:crossAx val="446610792"/>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Sub competencia No.</a:t>
            </a:r>
            <a:r>
              <a:rPr lang="es-ES" baseline="0"/>
              <a:t> 2</a:t>
            </a:r>
            <a:endParaRPr lang="es-ES"/>
          </a:p>
        </c:rich>
      </c:tx>
      <c:overlay val="0"/>
    </c:title>
    <c:autoTitleDeleted val="0"/>
    <c:plotArea>
      <c:layout/>
      <c:scatterChart>
        <c:scatterStyle val="lineMarker"/>
        <c:varyColors val="0"/>
        <c:ser>
          <c:idx val="0"/>
          <c:order val="0"/>
          <c:tx>
            <c:v>Distribución de Sub- competencias</c:v>
          </c:tx>
          <c:xVal>
            <c:numRef>
              <c:f>Hoja1!$J$7:$J$10</c:f>
              <c:numCache>
                <c:formatCode>General</c:formatCode>
                <c:ptCount val="4"/>
                <c:pt idx="0">
                  <c:v>7</c:v>
                </c:pt>
                <c:pt idx="1">
                  <c:v>8</c:v>
                </c:pt>
                <c:pt idx="2">
                  <c:v>9</c:v>
                </c:pt>
                <c:pt idx="3">
                  <c:v>10</c:v>
                </c:pt>
              </c:numCache>
            </c:numRef>
          </c:xVal>
          <c:yVal>
            <c:numRef>
              <c:f>Hoja1!$K$7:$K$10</c:f>
              <c:numCache>
                <c:formatCode>General</c:formatCode>
                <c:ptCount val="4"/>
                <c:pt idx="0">
                  <c:v>5.1299999999999998E-2</c:v>
                </c:pt>
                <c:pt idx="1">
                  <c:v>0.36540000000000028</c:v>
                </c:pt>
                <c:pt idx="2">
                  <c:v>0.3910000000000004</c:v>
                </c:pt>
                <c:pt idx="3">
                  <c:v>0.1923</c:v>
                </c:pt>
              </c:numCache>
            </c:numRef>
          </c:yVal>
          <c:smooth val="1"/>
        </c:ser>
        <c:dLbls>
          <c:showLegendKey val="0"/>
          <c:showVal val="0"/>
          <c:showCatName val="0"/>
          <c:showSerName val="0"/>
          <c:showPercent val="0"/>
          <c:showBubbleSize val="0"/>
        </c:dLbls>
        <c:axId val="446611968"/>
        <c:axId val="446612360"/>
      </c:scatterChart>
      <c:valAx>
        <c:axId val="446611968"/>
        <c:scaling>
          <c:orientation val="minMax"/>
          <c:max val="10"/>
          <c:min val="6"/>
        </c:scaling>
        <c:delete val="0"/>
        <c:axPos val="b"/>
        <c:majorGridlines/>
        <c:title>
          <c:tx>
            <c:rich>
              <a:bodyPr/>
              <a:lstStyle/>
              <a:p>
                <a:pPr>
                  <a:defRPr/>
                </a:pPr>
                <a:r>
                  <a:rPr lang="es-ES"/>
                  <a:t>Calificaciones</a:t>
                </a:r>
              </a:p>
            </c:rich>
          </c:tx>
          <c:overlay val="0"/>
        </c:title>
        <c:numFmt formatCode="General" sourceLinked="1"/>
        <c:majorTickMark val="out"/>
        <c:minorTickMark val="none"/>
        <c:tickLblPos val="nextTo"/>
        <c:crossAx val="446612360"/>
        <c:crosses val="autoZero"/>
        <c:crossBetween val="midCat"/>
      </c:valAx>
      <c:valAx>
        <c:axId val="446612360"/>
        <c:scaling>
          <c:orientation val="minMax"/>
        </c:scaling>
        <c:delete val="0"/>
        <c:axPos val="l"/>
        <c:majorGridlines/>
        <c:title>
          <c:tx>
            <c:rich>
              <a:bodyPr rot="-5400000" vert="horz"/>
              <a:lstStyle/>
              <a:p>
                <a:pPr>
                  <a:defRPr/>
                </a:pPr>
                <a:r>
                  <a:rPr lang="es-ES"/>
                  <a:t>Frecuencia </a:t>
                </a:r>
              </a:p>
            </c:rich>
          </c:tx>
          <c:overlay val="0"/>
        </c:title>
        <c:numFmt formatCode="General" sourceLinked="1"/>
        <c:majorTickMark val="out"/>
        <c:minorTickMark val="none"/>
        <c:tickLblPos val="nextTo"/>
        <c:crossAx val="446611968"/>
        <c:crosses val="autoZero"/>
        <c:crossBetween val="midCat"/>
        <c:majorUnit val="0.05"/>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Sub competencia No.</a:t>
            </a:r>
            <a:r>
              <a:rPr lang="es-ES" baseline="0"/>
              <a:t> 3</a:t>
            </a:r>
            <a:endParaRPr lang="es-ES"/>
          </a:p>
        </c:rich>
      </c:tx>
      <c:layout>
        <c:manualLayout>
          <c:xMode val="edge"/>
          <c:yMode val="edge"/>
          <c:x val="0.24132633420822425"/>
          <c:y val="2.7777777777777891E-2"/>
        </c:manualLayout>
      </c:layout>
      <c:overlay val="0"/>
    </c:title>
    <c:autoTitleDeleted val="0"/>
    <c:plotArea>
      <c:layout/>
      <c:scatterChart>
        <c:scatterStyle val="lineMarker"/>
        <c:varyColors val="0"/>
        <c:ser>
          <c:idx val="0"/>
          <c:order val="0"/>
          <c:tx>
            <c:v>Distribución de Sub- competencias</c:v>
          </c:tx>
          <c:xVal>
            <c:numRef>
              <c:f>Hoja1!$J$7:$J$10</c:f>
              <c:numCache>
                <c:formatCode>General</c:formatCode>
                <c:ptCount val="4"/>
                <c:pt idx="0">
                  <c:v>7</c:v>
                </c:pt>
                <c:pt idx="1">
                  <c:v>8</c:v>
                </c:pt>
                <c:pt idx="2">
                  <c:v>9</c:v>
                </c:pt>
                <c:pt idx="3">
                  <c:v>10</c:v>
                </c:pt>
              </c:numCache>
            </c:numRef>
          </c:xVal>
          <c:yVal>
            <c:numRef>
              <c:f>Hoja1!$K$7:$K$10</c:f>
              <c:numCache>
                <c:formatCode>General</c:formatCode>
                <c:ptCount val="4"/>
                <c:pt idx="0">
                  <c:v>5.1299999999999998E-2</c:v>
                </c:pt>
                <c:pt idx="1">
                  <c:v>0.36540000000000028</c:v>
                </c:pt>
                <c:pt idx="2">
                  <c:v>0.3910000000000004</c:v>
                </c:pt>
                <c:pt idx="3">
                  <c:v>0.1923</c:v>
                </c:pt>
              </c:numCache>
            </c:numRef>
          </c:yVal>
          <c:smooth val="1"/>
        </c:ser>
        <c:dLbls>
          <c:showLegendKey val="0"/>
          <c:showVal val="0"/>
          <c:showCatName val="0"/>
          <c:showSerName val="0"/>
          <c:showPercent val="0"/>
          <c:showBubbleSize val="0"/>
        </c:dLbls>
        <c:axId val="446613536"/>
        <c:axId val="446607264"/>
      </c:scatterChart>
      <c:valAx>
        <c:axId val="446613536"/>
        <c:scaling>
          <c:orientation val="minMax"/>
          <c:max val="10"/>
          <c:min val="6"/>
        </c:scaling>
        <c:delete val="0"/>
        <c:axPos val="b"/>
        <c:majorGridlines/>
        <c:title>
          <c:tx>
            <c:rich>
              <a:bodyPr/>
              <a:lstStyle/>
              <a:p>
                <a:pPr>
                  <a:defRPr/>
                </a:pPr>
                <a:r>
                  <a:rPr lang="es-ES"/>
                  <a:t>Calificaciones</a:t>
                </a:r>
              </a:p>
            </c:rich>
          </c:tx>
          <c:overlay val="0"/>
        </c:title>
        <c:numFmt formatCode="General" sourceLinked="1"/>
        <c:majorTickMark val="out"/>
        <c:minorTickMark val="none"/>
        <c:tickLblPos val="nextTo"/>
        <c:crossAx val="446607264"/>
        <c:crosses val="autoZero"/>
        <c:crossBetween val="midCat"/>
      </c:valAx>
      <c:valAx>
        <c:axId val="446607264"/>
        <c:scaling>
          <c:orientation val="minMax"/>
        </c:scaling>
        <c:delete val="0"/>
        <c:axPos val="l"/>
        <c:majorGridlines/>
        <c:title>
          <c:tx>
            <c:rich>
              <a:bodyPr rot="-5400000" vert="horz"/>
              <a:lstStyle/>
              <a:p>
                <a:pPr>
                  <a:defRPr/>
                </a:pPr>
                <a:r>
                  <a:rPr lang="es-ES"/>
                  <a:t>Frecuencia </a:t>
                </a:r>
              </a:p>
            </c:rich>
          </c:tx>
          <c:overlay val="0"/>
        </c:title>
        <c:numFmt formatCode="General" sourceLinked="1"/>
        <c:majorTickMark val="out"/>
        <c:minorTickMark val="none"/>
        <c:tickLblPos val="nextTo"/>
        <c:crossAx val="446613536"/>
        <c:crosses val="autoZero"/>
        <c:crossBetween val="midCat"/>
        <c:majorUnit val="0.05"/>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Sub competencia No.</a:t>
            </a:r>
            <a:r>
              <a:rPr lang="es-ES" baseline="0"/>
              <a:t> 4</a:t>
            </a:r>
            <a:endParaRPr lang="es-ES"/>
          </a:p>
        </c:rich>
      </c:tx>
      <c:layout>
        <c:manualLayout>
          <c:xMode val="edge"/>
          <c:yMode val="edge"/>
          <c:x val="0.24132633420822425"/>
          <c:y val="2.7777777777777891E-2"/>
        </c:manualLayout>
      </c:layout>
      <c:overlay val="0"/>
    </c:title>
    <c:autoTitleDeleted val="0"/>
    <c:plotArea>
      <c:layout/>
      <c:scatterChart>
        <c:scatterStyle val="lineMarker"/>
        <c:varyColors val="0"/>
        <c:ser>
          <c:idx val="0"/>
          <c:order val="0"/>
          <c:tx>
            <c:v>Distribución de Sub- competencias</c:v>
          </c:tx>
          <c:xVal>
            <c:numRef>
              <c:f>Hoja1!$J$7:$J$10</c:f>
              <c:numCache>
                <c:formatCode>General</c:formatCode>
                <c:ptCount val="4"/>
                <c:pt idx="0">
                  <c:v>7</c:v>
                </c:pt>
                <c:pt idx="1">
                  <c:v>8</c:v>
                </c:pt>
                <c:pt idx="2">
                  <c:v>9</c:v>
                </c:pt>
                <c:pt idx="3">
                  <c:v>10</c:v>
                </c:pt>
              </c:numCache>
            </c:numRef>
          </c:xVal>
          <c:yVal>
            <c:numRef>
              <c:f>Hoja1!$K$7:$K$10</c:f>
              <c:numCache>
                <c:formatCode>General</c:formatCode>
                <c:ptCount val="4"/>
                <c:pt idx="0">
                  <c:v>5.1299999999999998E-2</c:v>
                </c:pt>
                <c:pt idx="1">
                  <c:v>0.36540000000000028</c:v>
                </c:pt>
                <c:pt idx="2">
                  <c:v>0.3910000000000004</c:v>
                </c:pt>
                <c:pt idx="3">
                  <c:v>0.1923</c:v>
                </c:pt>
              </c:numCache>
            </c:numRef>
          </c:yVal>
          <c:smooth val="1"/>
        </c:ser>
        <c:dLbls>
          <c:showLegendKey val="0"/>
          <c:showVal val="0"/>
          <c:showCatName val="0"/>
          <c:showSerName val="0"/>
          <c:showPercent val="0"/>
          <c:showBubbleSize val="0"/>
        </c:dLbls>
        <c:axId val="445340696"/>
        <c:axId val="445335600"/>
      </c:scatterChart>
      <c:valAx>
        <c:axId val="445340696"/>
        <c:scaling>
          <c:orientation val="minMax"/>
          <c:max val="10"/>
          <c:min val="6"/>
        </c:scaling>
        <c:delete val="0"/>
        <c:axPos val="b"/>
        <c:majorGridlines/>
        <c:title>
          <c:tx>
            <c:rich>
              <a:bodyPr/>
              <a:lstStyle/>
              <a:p>
                <a:pPr>
                  <a:defRPr/>
                </a:pPr>
                <a:r>
                  <a:rPr lang="es-ES"/>
                  <a:t>Calificaciones</a:t>
                </a:r>
              </a:p>
            </c:rich>
          </c:tx>
          <c:overlay val="0"/>
        </c:title>
        <c:numFmt formatCode="General" sourceLinked="1"/>
        <c:majorTickMark val="out"/>
        <c:minorTickMark val="none"/>
        <c:tickLblPos val="nextTo"/>
        <c:crossAx val="445335600"/>
        <c:crosses val="autoZero"/>
        <c:crossBetween val="midCat"/>
      </c:valAx>
      <c:valAx>
        <c:axId val="445335600"/>
        <c:scaling>
          <c:orientation val="minMax"/>
        </c:scaling>
        <c:delete val="0"/>
        <c:axPos val="l"/>
        <c:majorGridlines/>
        <c:title>
          <c:tx>
            <c:rich>
              <a:bodyPr rot="-5400000" vert="horz"/>
              <a:lstStyle/>
              <a:p>
                <a:pPr>
                  <a:defRPr/>
                </a:pPr>
                <a:r>
                  <a:rPr lang="es-ES"/>
                  <a:t>Frecuencia </a:t>
                </a:r>
              </a:p>
            </c:rich>
          </c:tx>
          <c:overlay val="0"/>
        </c:title>
        <c:numFmt formatCode="General" sourceLinked="1"/>
        <c:majorTickMark val="out"/>
        <c:minorTickMark val="none"/>
        <c:tickLblPos val="nextTo"/>
        <c:crossAx val="445340696"/>
        <c:crosses val="autoZero"/>
        <c:crossBetween val="midCat"/>
        <c:majorUnit val="0.05"/>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Proceso</a:t>
            </a:r>
            <a:r>
              <a:rPr lang="es-ES" baseline="0"/>
              <a:t> integrado de las 4 sub competencias</a:t>
            </a:r>
            <a:endParaRPr lang="es-ES"/>
          </a:p>
        </c:rich>
      </c:tx>
      <c:layout>
        <c:manualLayout>
          <c:xMode val="edge"/>
          <c:yMode val="edge"/>
          <c:x val="0.26632633420822432"/>
          <c:y val="2.7777777777777853E-2"/>
        </c:manualLayout>
      </c:layout>
      <c:overlay val="0"/>
    </c:title>
    <c:autoTitleDeleted val="0"/>
    <c:plotArea>
      <c:layout/>
      <c:scatterChart>
        <c:scatterStyle val="lineMarker"/>
        <c:varyColors val="0"/>
        <c:ser>
          <c:idx val="0"/>
          <c:order val="0"/>
          <c:tx>
            <c:v>Distribución de Sub- competencias</c:v>
          </c:tx>
          <c:xVal>
            <c:numRef>
              <c:f>Hoja1!$J$7:$J$10</c:f>
              <c:numCache>
                <c:formatCode>General</c:formatCode>
                <c:ptCount val="4"/>
                <c:pt idx="0">
                  <c:v>7</c:v>
                </c:pt>
                <c:pt idx="1">
                  <c:v>8</c:v>
                </c:pt>
                <c:pt idx="2">
                  <c:v>9</c:v>
                </c:pt>
                <c:pt idx="3">
                  <c:v>10</c:v>
                </c:pt>
              </c:numCache>
            </c:numRef>
          </c:xVal>
          <c:yVal>
            <c:numRef>
              <c:f>Hoja1!$K$7:$K$10</c:f>
              <c:numCache>
                <c:formatCode>General</c:formatCode>
                <c:ptCount val="4"/>
                <c:pt idx="0">
                  <c:v>5.1299999999999998E-2</c:v>
                </c:pt>
                <c:pt idx="1">
                  <c:v>0.36540000000000028</c:v>
                </c:pt>
                <c:pt idx="2">
                  <c:v>0.3910000000000004</c:v>
                </c:pt>
                <c:pt idx="3">
                  <c:v>0.1923</c:v>
                </c:pt>
              </c:numCache>
            </c:numRef>
          </c:yVal>
          <c:smooth val="1"/>
        </c:ser>
        <c:dLbls>
          <c:showLegendKey val="0"/>
          <c:showVal val="0"/>
          <c:showCatName val="0"/>
          <c:showSerName val="0"/>
          <c:showPercent val="0"/>
          <c:showBubbleSize val="0"/>
        </c:dLbls>
        <c:axId val="443972064"/>
        <c:axId val="352633536"/>
      </c:scatterChart>
      <c:valAx>
        <c:axId val="443972064"/>
        <c:scaling>
          <c:orientation val="minMax"/>
          <c:max val="10"/>
          <c:min val="6"/>
        </c:scaling>
        <c:delete val="0"/>
        <c:axPos val="b"/>
        <c:majorGridlines/>
        <c:title>
          <c:tx>
            <c:rich>
              <a:bodyPr/>
              <a:lstStyle/>
              <a:p>
                <a:pPr>
                  <a:defRPr/>
                </a:pPr>
                <a:r>
                  <a:rPr lang="es-ES"/>
                  <a:t>Calificaciones</a:t>
                </a:r>
              </a:p>
            </c:rich>
          </c:tx>
          <c:overlay val="0"/>
        </c:title>
        <c:numFmt formatCode="General" sourceLinked="1"/>
        <c:majorTickMark val="out"/>
        <c:minorTickMark val="none"/>
        <c:tickLblPos val="nextTo"/>
        <c:crossAx val="352633536"/>
        <c:crosses val="autoZero"/>
        <c:crossBetween val="midCat"/>
      </c:valAx>
      <c:valAx>
        <c:axId val="352633536"/>
        <c:scaling>
          <c:orientation val="minMax"/>
        </c:scaling>
        <c:delete val="0"/>
        <c:axPos val="l"/>
        <c:majorGridlines/>
        <c:title>
          <c:tx>
            <c:rich>
              <a:bodyPr rot="-5400000" vert="horz"/>
              <a:lstStyle/>
              <a:p>
                <a:pPr>
                  <a:defRPr/>
                </a:pPr>
                <a:r>
                  <a:rPr lang="es-ES"/>
                  <a:t>Frecuencia </a:t>
                </a:r>
              </a:p>
            </c:rich>
          </c:tx>
          <c:overlay val="0"/>
        </c:title>
        <c:numFmt formatCode="General" sourceLinked="1"/>
        <c:majorTickMark val="out"/>
        <c:minorTickMark val="none"/>
        <c:tickLblPos val="nextTo"/>
        <c:crossAx val="443972064"/>
        <c:crosses val="autoZero"/>
        <c:crossBetween val="midCat"/>
        <c:majorUnit val="0.05"/>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Resultado</a:t>
            </a:r>
            <a:r>
              <a:rPr lang="es-ES" baseline="0"/>
              <a:t> final,ponderado. </a:t>
            </a:r>
            <a:endParaRPr lang="es-ES"/>
          </a:p>
        </c:rich>
      </c:tx>
      <c:layout>
        <c:manualLayout>
          <c:xMode val="edge"/>
          <c:yMode val="edge"/>
          <c:x val="0.27466481729765019"/>
          <c:y val="2.5207658364490831E-2"/>
        </c:manualLayout>
      </c:layout>
      <c:overlay val="0"/>
    </c:title>
    <c:autoTitleDeleted val="0"/>
    <c:plotArea>
      <c:layout>
        <c:manualLayout>
          <c:layoutTarget val="inner"/>
          <c:xMode val="edge"/>
          <c:yMode val="edge"/>
          <c:x val="7.3021635741216964E-2"/>
          <c:y val="1.2773731951388551E-2"/>
          <c:w val="0.83126567455356493"/>
          <c:h val="0.88156023400873051"/>
        </c:manualLayout>
      </c:layout>
      <c:barChart>
        <c:barDir val="col"/>
        <c:grouping val="clustered"/>
        <c:varyColors val="0"/>
        <c:ser>
          <c:idx val="0"/>
          <c:order val="0"/>
          <c:tx>
            <c:strRef>
              <c:f>Hoja1!$A$1</c:f>
              <c:strCache>
                <c:ptCount val="1"/>
                <c:pt idx="0">
                  <c:v>calificaciòn</c:v>
                </c:pt>
              </c:strCache>
            </c:strRef>
          </c:tx>
          <c:invertIfNegative val="0"/>
          <c:val>
            <c:numRef>
              <c:f>Hoja1!$A$2:$A$5</c:f>
              <c:numCache>
                <c:formatCode>General</c:formatCode>
                <c:ptCount val="4"/>
                <c:pt idx="0">
                  <c:v>7</c:v>
                </c:pt>
                <c:pt idx="1">
                  <c:v>8</c:v>
                </c:pt>
                <c:pt idx="2">
                  <c:v>9</c:v>
                </c:pt>
                <c:pt idx="3">
                  <c:v>10</c:v>
                </c:pt>
              </c:numCache>
            </c:numRef>
          </c:val>
        </c:ser>
        <c:ser>
          <c:idx val="1"/>
          <c:order val="1"/>
          <c:tx>
            <c:strRef>
              <c:f>Hoja1!$B$1</c:f>
              <c:strCache>
                <c:ptCount val="1"/>
                <c:pt idx="0">
                  <c:v>porcentaje</c:v>
                </c:pt>
              </c:strCache>
            </c:strRef>
          </c:tx>
          <c:invertIfNegative val="0"/>
          <c:val>
            <c:numRef>
              <c:f>Hoja1!$B$2:$B$5</c:f>
              <c:numCache>
                <c:formatCode>General</c:formatCode>
                <c:ptCount val="4"/>
                <c:pt idx="0">
                  <c:v>2.56</c:v>
                </c:pt>
                <c:pt idx="1">
                  <c:v>41.03</c:v>
                </c:pt>
                <c:pt idx="2">
                  <c:v>48.720000000000013</c:v>
                </c:pt>
                <c:pt idx="3">
                  <c:v>7.6899999999999995</c:v>
                </c:pt>
              </c:numCache>
            </c:numRef>
          </c:val>
        </c:ser>
        <c:dLbls>
          <c:showLegendKey val="0"/>
          <c:showVal val="0"/>
          <c:showCatName val="0"/>
          <c:showSerName val="0"/>
          <c:showPercent val="0"/>
          <c:showBubbleSize val="0"/>
        </c:dLbls>
        <c:gapWidth val="150"/>
        <c:axId val="445514888"/>
        <c:axId val="445514496"/>
      </c:barChart>
      <c:catAx>
        <c:axId val="445514888"/>
        <c:scaling>
          <c:orientation val="minMax"/>
        </c:scaling>
        <c:delete val="0"/>
        <c:axPos val="b"/>
        <c:title>
          <c:tx>
            <c:rich>
              <a:bodyPr/>
              <a:lstStyle/>
              <a:p>
                <a:pPr>
                  <a:defRPr/>
                </a:pPr>
                <a:r>
                  <a:rPr lang="es-ES"/>
                  <a:t>Nivel de Sub</a:t>
                </a:r>
                <a:r>
                  <a:rPr lang="es-ES" baseline="0"/>
                  <a:t> competencias</a:t>
                </a:r>
                <a:endParaRPr lang="es-ES"/>
              </a:p>
            </c:rich>
          </c:tx>
          <c:overlay val="0"/>
        </c:title>
        <c:majorTickMark val="out"/>
        <c:minorTickMark val="none"/>
        <c:tickLblPos val="nextTo"/>
        <c:crossAx val="445514496"/>
        <c:crosses val="autoZero"/>
        <c:auto val="1"/>
        <c:lblAlgn val="ctr"/>
        <c:lblOffset val="100"/>
        <c:noMultiLvlLbl val="0"/>
      </c:catAx>
      <c:valAx>
        <c:axId val="445514496"/>
        <c:scaling>
          <c:orientation val="minMax"/>
        </c:scaling>
        <c:delete val="0"/>
        <c:axPos val="l"/>
        <c:majorGridlines/>
        <c:title>
          <c:tx>
            <c:rich>
              <a:bodyPr rot="-5400000" vert="horz"/>
              <a:lstStyle/>
              <a:p>
                <a:pPr>
                  <a:defRPr/>
                </a:pPr>
                <a:r>
                  <a:rPr lang="es-ES"/>
                  <a:t>Porcentaje</a:t>
                </a:r>
              </a:p>
            </c:rich>
          </c:tx>
          <c:overlay val="0"/>
        </c:title>
        <c:numFmt formatCode="General" sourceLinked="1"/>
        <c:majorTickMark val="out"/>
        <c:minorTickMark val="none"/>
        <c:tickLblPos val="nextTo"/>
        <c:crossAx val="445514888"/>
        <c:crosses val="autoZero"/>
        <c:crossBetween val="between"/>
      </c:valAx>
    </c:plotArea>
    <c:legend>
      <c:legendPos val="r"/>
      <c:layout>
        <c:manualLayout>
          <c:xMode val="edge"/>
          <c:yMode val="edge"/>
          <c:x val="0.77441839662860079"/>
          <c:y val="0.26538910667768889"/>
          <c:w val="0.16303471826134638"/>
          <c:h val="0.2201320357754159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3352</Words>
  <Characters>18437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FRANCISCO</cp:lastModifiedBy>
  <cp:revision>3</cp:revision>
  <dcterms:created xsi:type="dcterms:W3CDTF">2016-10-11T17:39:00Z</dcterms:created>
  <dcterms:modified xsi:type="dcterms:W3CDTF">2016-11-19T18:22:00Z</dcterms:modified>
</cp:coreProperties>
</file>